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一、中国共产党石家庄市藁城区纪律检查委员会本级收支预算</w:t>
      </w:r>
      <w:r>
        <w:tab/>
      </w:r>
      <w:r>
        <w:fldChar w:fldCharType="begin"/>
      </w:r>
      <w:r>
        <w:instrText xml:space="preserve">PAGEREF _Toc_4_4_0000000019 \h</w:instrText>
      </w:r>
      <w:r>
        <w:fldChar w:fldCharType="separate"/>
      </w:r>
      <w:r>
        <w:t>27</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2021.78</w:t>
            </w:r>
          </w:p>
        </w:tc>
        <w:tc>
          <w:tcPr>
            <w:tcW w:w="1971" w:type="dxa"/>
            <w:vAlign w:val="center"/>
          </w:tcPr>
          <w:p>
            <w:pPr>
              <w:pStyle w:val="14"/>
            </w:pPr>
            <w:r>
              <w:t>一、一般公共服务支出</w:t>
            </w:r>
          </w:p>
        </w:tc>
        <w:tc>
          <w:tcPr>
            <w:tcW w:w="1971" w:type="dxa"/>
            <w:vAlign w:val="center"/>
          </w:tcPr>
          <w:p>
            <w:pPr>
              <w:pStyle w:val="13"/>
            </w:pPr>
            <w:r>
              <w:t>2021.78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2021.78</w:t>
            </w:r>
          </w:p>
        </w:tc>
        <w:tc>
          <w:tcPr>
            <w:tcW w:w="1971" w:type="dxa"/>
            <w:vAlign w:val="center"/>
          </w:tcPr>
          <w:p>
            <w:pPr>
              <w:pStyle w:val="16"/>
            </w:pPr>
            <w:r>
              <w:t>本年支出合计</w:t>
            </w:r>
          </w:p>
        </w:tc>
        <w:tc>
          <w:tcPr>
            <w:tcW w:w="1971" w:type="dxa"/>
            <w:vAlign w:val="center"/>
          </w:tcPr>
          <w:p>
            <w:pPr>
              <w:pStyle w:val="17"/>
            </w:pPr>
            <w:r>
              <w:t>2021.78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2021.78</w:t>
            </w:r>
          </w:p>
        </w:tc>
        <w:tc>
          <w:tcPr>
            <w:tcW w:w="1971" w:type="dxa"/>
            <w:vAlign w:val="center"/>
          </w:tcPr>
          <w:p>
            <w:pPr>
              <w:pStyle w:val="16"/>
            </w:pPr>
            <w:r>
              <w:t>支出总计</w:t>
            </w:r>
          </w:p>
        </w:tc>
        <w:tc>
          <w:tcPr>
            <w:tcW w:w="1971" w:type="dxa"/>
            <w:vAlign w:val="center"/>
          </w:tcPr>
          <w:p>
            <w:pPr>
              <w:pStyle w:val="17"/>
            </w:pPr>
            <w:r>
              <w:t>2021.78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2021.78</w:t>
            </w:r>
          </w:p>
        </w:tc>
        <w:tc>
          <w:tcPr>
            <w:tcW w:w="758" w:type="dxa"/>
            <w:vAlign w:val="center"/>
          </w:tcPr>
          <w:p>
            <w:pPr>
              <w:pStyle w:val="17"/>
            </w:pPr>
            <w:r>
              <w:t>2021.78</w:t>
            </w:r>
          </w:p>
        </w:tc>
        <w:tc>
          <w:tcPr>
            <w:tcW w:w="758" w:type="dxa"/>
            <w:vAlign w:val="center"/>
          </w:tcPr>
          <w:p>
            <w:pPr>
              <w:pStyle w:val="17"/>
            </w:pPr>
            <w:r>
              <w:t>2021.78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1482.78</w:t>
            </w:r>
          </w:p>
        </w:tc>
        <w:tc>
          <w:tcPr>
            <w:tcW w:w="758" w:type="dxa"/>
            <w:vAlign w:val="center"/>
          </w:tcPr>
          <w:p>
            <w:pPr>
              <w:pStyle w:val="13"/>
            </w:pPr>
            <w:r>
              <w:t>1482.78</w:t>
            </w:r>
          </w:p>
        </w:tc>
        <w:tc>
          <w:tcPr>
            <w:tcW w:w="758" w:type="dxa"/>
            <w:vAlign w:val="center"/>
          </w:tcPr>
          <w:p>
            <w:pPr>
              <w:pStyle w:val="13"/>
            </w:pPr>
            <w:r>
              <w:t>1482.78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339.20</w:t>
            </w:r>
          </w:p>
        </w:tc>
        <w:tc>
          <w:tcPr>
            <w:tcW w:w="758" w:type="dxa"/>
            <w:vAlign w:val="center"/>
          </w:tcPr>
          <w:p>
            <w:pPr>
              <w:pStyle w:val="13"/>
            </w:pPr>
            <w:r>
              <w:t>339.20</w:t>
            </w:r>
          </w:p>
        </w:tc>
        <w:tc>
          <w:tcPr>
            <w:tcW w:w="758" w:type="dxa"/>
            <w:vAlign w:val="center"/>
          </w:tcPr>
          <w:p>
            <w:pPr>
              <w:pStyle w:val="13"/>
            </w:pPr>
            <w:r>
              <w:t>339.20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2011104</w:t>
            </w:r>
          </w:p>
        </w:tc>
        <w:tc>
          <w:tcPr>
            <w:tcW w:w="758" w:type="dxa"/>
            <w:vAlign w:val="center"/>
          </w:tcPr>
          <w:p>
            <w:pPr>
              <w:pStyle w:val="14"/>
            </w:pPr>
            <w:r>
              <w:t>大案要案查处</w:t>
            </w:r>
          </w:p>
        </w:tc>
        <w:tc>
          <w:tcPr>
            <w:tcW w:w="758" w:type="dxa"/>
            <w:vAlign w:val="center"/>
          </w:tcPr>
          <w:p>
            <w:pPr>
              <w:pStyle w:val="13"/>
            </w:pPr>
            <w:r>
              <w:t>199.80</w:t>
            </w:r>
          </w:p>
        </w:tc>
        <w:tc>
          <w:tcPr>
            <w:tcW w:w="758" w:type="dxa"/>
            <w:vAlign w:val="center"/>
          </w:tcPr>
          <w:p>
            <w:pPr>
              <w:pStyle w:val="13"/>
            </w:pPr>
            <w:r>
              <w:t>199.80</w:t>
            </w:r>
          </w:p>
        </w:tc>
        <w:tc>
          <w:tcPr>
            <w:tcW w:w="758" w:type="dxa"/>
            <w:vAlign w:val="center"/>
          </w:tcPr>
          <w:p>
            <w:pPr>
              <w:pStyle w:val="13"/>
            </w:pPr>
            <w:r>
              <w:t>199.80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2021.78</w:t>
            </w:r>
          </w:p>
        </w:tc>
        <w:tc>
          <w:tcPr>
            <w:tcW w:w="1095" w:type="dxa"/>
            <w:vAlign w:val="center"/>
          </w:tcPr>
          <w:p>
            <w:pPr>
              <w:pStyle w:val="17"/>
            </w:pPr>
            <w:r>
              <w:t>1482.78</w:t>
            </w:r>
          </w:p>
        </w:tc>
        <w:tc>
          <w:tcPr>
            <w:tcW w:w="1095" w:type="dxa"/>
            <w:vAlign w:val="center"/>
          </w:tcPr>
          <w:p>
            <w:pPr>
              <w:pStyle w:val="17"/>
            </w:pPr>
            <w:r>
              <w:t>539.00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2021.78</w:t>
            </w:r>
          </w:p>
        </w:tc>
        <w:tc>
          <w:tcPr>
            <w:tcW w:w="1095" w:type="dxa"/>
            <w:vAlign w:val="center"/>
          </w:tcPr>
          <w:p>
            <w:pPr>
              <w:pStyle w:val="13"/>
            </w:pPr>
            <w:r>
              <w:t>1482.78</w:t>
            </w:r>
          </w:p>
        </w:tc>
        <w:tc>
          <w:tcPr>
            <w:tcW w:w="1095" w:type="dxa"/>
            <w:vAlign w:val="center"/>
          </w:tcPr>
          <w:p>
            <w:pPr>
              <w:pStyle w:val="13"/>
            </w:pPr>
            <w:r>
              <w:t>539.00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2021.78</w:t>
            </w:r>
          </w:p>
        </w:tc>
        <w:tc>
          <w:tcPr>
            <w:tcW w:w="1095" w:type="dxa"/>
            <w:vAlign w:val="center"/>
          </w:tcPr>
          <w:p>
            <w:pPr>
              <w:pStyle w:val="13"/>
            </w:pPr>
            <w:r>
              <w:t>1482.78</w:t>
            </w:r>
          </w:p>
        </w:tc>
        <w:tc>
          <w:tcPr>
            <w:tcW w:w="1095" w:type="dxa"/>
            <w:vAlign w:val="center"/>
          </w:tcPr>
          <w:p>
            <w:pPr>
              <w:pStyle w:val="13"/>
            </w:pPr>
            <w:r>
              <w:t>539.00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1482.78</w:t>
            </w:r>
          </w:p>
        </w:tc>
        <w:tc>
          <w:tcPr>
            <w:tcW w:w="1095" w:type="dxa"/>
            <w:vAlign w:val="center"/>
          </w:tcPr>
          <w:p>
            <w:pPr>
              <w:pStyle w:val="13"/>
            </w:pPr>
            <w:r>
              <w:t>1482.78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339.20</w:t>
            </w:r>
          </w:p>
        </w:tc>
        <w:tc>
          <w:tcPr>
            <w:tcW w:w="1095" w:type="dxa"/>
            <w:vAlign w:val="center"/>
          </w:tcPr>
          <w:p>
            <w:pPr>
              <w:pStyle w:val="13"/>
            </w:pPr>
          </w:p>
        </w:tc>
        <w:tc>
          <w:tcPr>
            <w:tcW w:w="1095" w:type="dxa"/>
            <w:vAlign w:val="center"/>
          </w:tcPr>
          <w:p>
            <w:pPr>
              <w:pStyle w:val="13"/>
            </w:pPr>
            <w:r>
              <w:t>339.20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2011104</w:t>
            </w:r>
          </w:p>
        </w:tc>
        <w:tc>
          <w:tcPr>
            <w:tcW w:w="1095" w:type="dxa"/>
            <w:vAlign w:val="center"/>
          </w:tcPr>
          <w:p>
            <w:pPr>
              <w:pStyle w:val="14"/>
            </w:pPr>
            <w:r>
              <w:t>大案要案查处</w:t>
            </w:r>
          </w:p>
        </w:tc>
        <w:tc>
          <w:tcPr>
            <w:tcW w:w="1095" w:type="dxa"/>
            <w:vAlign w:val="center"/>
          </w:tcPr>
          <w:p>
            <w:pPr>
              <w:pStyle w:val="13"/>
            </w:pPr>
            <w:r>
              <w:t>199.80</w:t>
            </w:r>
          </w:p>
        </w:tc>
        <w:tc>
          <w:tcPr>
            <w:tcW w:w="1095" w:type="dxa"/>
            <w:vAlign w:val="center"/>
          </w:tcPr>
          <w:p>
            <w:pPr>
              <w:pStyle w:val="13"/>
            </w:pPr>
          </w:p>
        </w:tc>
        <w:tc>
          <w:tcPr>
            <w:tcW w:w="1095" w:type="dxa"/>
            <w:vAlign w:val="center"/>
          </w:tcPr>
          <w:p>
            <w:pPr>
              <w:pStyle w:val="13"/>
            </w:pPr>
            <w:r>
              <w:t>199.80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2021.78</w:t>
            </w:r>
          </w:p>
        </w:tc>
        <w:tc>
          <w:tcPr>
            <w:tcW w:w="1232" w:type="dxa"/>
            <w:vAlign w:val="center"/>
          </w:tcPr>
          <w:p>
            <w:pPr>
              <w:pStyle w:val="14"/>
            </w:pPr>
            <w:r>
              <w:t>一、一般公共服务支出</w:t>
            </w:r>
          </w:p>
        </w:tc>
        <w:tc>
          <w:tcPr>
            <w:tcW w:w="1232" w:type="dxa"/>
            <w:vAlign w:val="center"/>
          </w:tcPr>
          <w:p>
            <w:pPr>
              <w:pStyle w:val="13"/>
            </w:pPr>
            <w:r>
              <w:t>2021.78</w:t>
            </w:r>
          </w:p>
        </w:tc>
        <w:tc>
          <w:tcPr>
            <w:tcW w:w="1232" w:type="dxa"/>
            <w:vAlign w:val="center"/>
          </w:tcPr>
          <w:p>
            <w:pPr>
              <w:pStyle w:val="13"/>
            </w:pPr>
            <w:r>
              <w:t>2021.78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2021.78</w:t>
            </w:r>
          </w:p>
        </w:tc>
        <w:tc>
          <w:tcPr>
            <w:tcW w:w="1232" w:type="dxa"/>
            <w:vAlign w:val="center"/>
          </w:tcPr>
          <w:p>
            <w:pPr>
              <w:pStyle w:val="16"/>
            </w:pPr>
            <w:r>
              <w:t>本年支出合计</w:t>
            </w:r>
          </w:p>
        </w:tc>
        <w:tc>
          <w:tcPr>
            <w:tcW w:w="1232" w:type="dxa"/>
            <w:vAlign w:val="center"/>
          </w:tcPr>
          <w:p>
            <w:pPr>
              <w:pStyle w:val="17"/>
            </w:pPr>
            <w:r>
              <w:t>2021.78</w:t>
            </w:r>
          </w:p>
        </w:tc>
        <w:tc>
          <w:tcPr>
            <w:tcW w:w="1232" w:type="dxa"/>
            <w:vAlign w:val="center"/>
          </w:tcPr>
          <w:p>
            <w:pPr>
              <w:pStyle w:val="17"/>
            </w:pPr>
            <w:r>
              <w:t>2021.78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2021.78</w:t>
            </w:r>
          </w:p>
        </w:tc>
        <w:tc>
          <w:tcPr>
            <w:tcW w:w="1232" w:type="dxa"/>
            <w:vAlign w:val="center"/>
          </w:tcPr>
          <w:p>
            <w:pPr>
              <w:pStyle w:val="16"/>
            </w:pPr>
            <w:r>
              <w:t>支出总计</w:t>
            </w:r>
          </w:p>
        </w:tc>
        <w:tc>
          <w:tcPr>
            <w:tcW w:w="1232" w:type="dxa"/>
            <w:vAlign w:val="center"/>
          </w:tcPr>
          <w:p>
            <w:pPr>
              <w:pStyle w:val="17"/>
            </w:pPr>
            <w:r>
              <w:t>2021.78</w:t>
            </w:r>
          </w:p>
        </w:tc>
        <w:tc>
          <w:tcPr>
            <w:tcW w:w="1232" w:type="dxa"/>
            <w:vAlign w:val="center"/>
          </w:tcPr>
          <w:p>
            <w:pPr>
              <w:pStyle w:val="17"/>
            </w:pPr>
            <w:r>
              <w:t>2021.78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2021.78</w:t>
            </w:r>
          </w:p>
        </w:tc>
        <w:tc>
          <w:tcPr>
            <w:tcW w:w="1643" w:type="dxa"/>
            <w:vAlign w:val="center"/>
          </w:tcPr>
          <w:p>
            <w:pPr>
              <w:pStyle w:val="17"/>
            </w:pPr>
            <w:r>
              <w:t>1482.78</w:t>
            </w:r>
          </w:p>
        </w:tc>
        <w:tc>
          <w:tcPr>
            <w:tcW w:w="1643" w:type="dxa"/>
            <w:vAlign w:val="center"/>
          </w:tcPr>
          <w:p>
            <w:pPr>
              <w:pStyle w:val="17"/>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2021.78</w:t>
            </w:r>
          </w:p>
        </w:tc>
        <w:tc>
          <w:tcPr>
            <w:tcW w:w="1643" w:type="dxa"/>
            <w:vAlign w:val="center"/>
          </w:tcPr>
          <w:p>
            <w:pPr>
              <w:pStyle w:val="13"/>
            </w:pPr>
            <w:r>
              <w:t>1482.78</w:t>
            </w:r>
          </w:p>
        </w:tc>
        <w:tc>
          <w:tcPr>
            <w:tcW w:w="1643" w:type="dxa"/>
            <w:vAlign w:val="center"/>
          </w:tcPr>
          <w:p>
            <w:pPr>
              <w:pStyle w:val="13"/>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2021.78</w:t>
            </w:r>
          </w:p>
        </w:tc>
        <w:tc>
          <w:tcPr>
            <w:tcW w:w="1643" w:type="dxa"/>
            <w:vAlign w:val="center"/>
          </w:tcPr>
          <w:p>
            <w:pPr>
              <w:pStyle w:val="13"/>
            </w:pPr>
            <w:r>
              <w:t>1482.78</w:t>
            </w:r>
          </w:p>
        </w:tc>
        <w:tc>
          <w:tcPr>
            <w:tcW w:w="1643" w:type="dxa"/>
            <w:vAlign w:val="center"/>
          </w:tcPr>
          <w:p>
            <w:pPr>
              <w:pStyle w:val="13"/>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1482.78</w:t>
            </w:r>
          </w:p>
        </w:tc>
        <w:tc>
          <w:tcPr>
            <w:tcW w:w="1643" w:type="dxa"/>
            <w:vAlign w:val="center"/>
          </w:tcPr>
          <w:p>
            <w:pPr>
              <w:pStyle w:val="13"/>
            </w:pPr>
            <w:r>
              <w:t>1482.78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339.20</w:t>
            </w:r>
          </w:p>
        </w:tc>
        <w:tc>
          <w:tcPr>
            <w:tcW w:w="1643" w:type="dxa"/>
            <w:vAlign w:val="center"/>
          </w:tcPr>
          <w:p>
            <w:pPr>
              <w:pStyle w:val="13"/>
            </w:pPr>
          </w:p>
        </w:tc>
        <w:tc>
          <w:tcPr>
            <w:tcW w:w="1643" w:type="dxa"/>
            <w:vAlign w:val="center"/>
          </w:tcPr>
          <w:p>
            <w:pPr>
              <w:pStyle w:val="13"/>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2011104</w:t>
            </w:r>
          </w:p>
        </w:tc>
        <w:tc>
          <w:tcPr>
            <w:tcW w:w="1643" w:type="dxa"/>
            <w:vAlign w:val="center"/>
          </w:tcPr>
          <w:p>
            <w:pPr>
              <w:pStyle w:val="14"/>
            </w:pPr>
            <w:r>
              <w:t>大案要案查处</w:t>
            </w:r>
          </w:p>
        </w:tc>
        <w:tc>
          <w:tcPr>
            <w:tcW w:w="1643" w:type="dxa"/>
            <w:vAlign w:val="center"/>
          </w:tcPr>
          <w:p>
            <w:pPr>
              <w:pStyle w:val="13"/>
            </w:pPr>
            <w:r>
              <w:t>199.80</w:t>
            </w:r>
          </w:p>
        </w:tc>
        <w:tc>
          <w:tcPr>
            <w:tcW w:w="1643" w:type="dxa"/>
            <w:vAlign w:val="center"/>
          </w:tcPr>
          <w:p>
            <w:pPr>
              <w:pStyle w:val="13"/>
            </w:pPr>
          </w:p>
        </w:tc>
        <w:tc>
          <w:tcPr>
            <w:tcW w:w="1643" w:type="dxa"/>
            <w:vAlign w:val="center"/>
          </w:tcPr>
          <w:p>
            <w:pPr>
              <w:pStyle w:val="13"/>
            </w:pPr>
            <w:r>
              <w:t>199.80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1482.78</w:t>
            </w:r>
          </w:p>
        </w:tc>
        <w:tc>
          <w:tcPr>
            <w:tcW w:w="1643" w:type="dxa"/>
            <w:vAlign w:val="center"/>
          </w:tcPr>
          <w:p>
            <w:pPr>
              <w:pStyle w:val="17"/>
            </w:pPr>
            <w:r>
              <w:t>1325.16</w:t>
            </w:r>
          </w:p>
        </w:tc>
        <w:tc>
          <w:tcPr>
            <w:tcW w:w="1643" w:type="dxa"/>
            <w:vAlign w:val="center"/>
          </w:tcPr>
          <w:p>
            <w:pPr>
              <w:pStyle w:val="17"/>
            </w:pPr>
            <w:r>
              <w:t>157.63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1325.16</w:t>
            </w:r>
          </w:p>
        </w:tc>
        <w:tc>
          <w:tcPr>
            <w:tcW w:w="1643" w:type="dxa"/>
            <w:vAlign w:val="center"/>
          </w:tcPr>
          <w:p>
            <w:pPr>
              <w:pStyle w:val="13"/>
            </w:pPr>
            <w:r>
              <w:t>1325.16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308.56</w:t>
            </w:r>
          </w:p>
        </w:tc>
        <w:tc>
          <w:tcPr>
            <w:tcW w:w="1643" w:type="dxa"/>
            <w:vAlign w:val="center"/>
          </w:tcPr>
          <w:p>
            <w:pPr>
              <w:pStyle w:val="13"/>
            </w:pPr>
            <w:r>
              <w:t>308.56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546.59</w:t>
            </w:r>
          </w:p>
        </w:tc>
        <w:tc>
          <w:tcPr>
            <w:tcW w:w="1643" w:type="dxa"/>
            <w:vAlign w:val="center"/>
          </w:tcPr>
          <w:p>
            <w:pPr>
              <w:pStyle w:val="13"/>
            </w:pPr>
            <w:r>
              <w:t>546.59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24.11</w:t>
            </w:r>
          </w:p>
        </w:tc>
        <w:tc>
          <w:tcPr>
            <w:tcW w:w="1643" w:type="dxa"/>
            <w:vAlign w:val="center"/>
          </w:tcPr>
          <w:p>
            <w:pPr>
              <w:pStyle w:val="13"/>
            </w:pPr>
            <w:r>
              <w:t>24.11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17.64</w:t>
            </w:r>
          </w:p>
        </w:tc>
        <w:tc>
          <w:tcPr>
            <w:tcW w:w="1643" w:type="dxa"/>
            <w:vAlign w:val="center"/>
          </w:tcPr>
          <w:p>
            <w:pPr>
              <w:pStyle w:val="13"/>
            </w:pPr>
            <w:r>
              <w:t>17.64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118.47</w:t>
            </w:r>
          </w:p>
        </w:tc>
        <w:tc>
          <w:tcPr>
            <w:tcW w:w="1643" w:type="dxa"/>
            <w:vAlign w:val="center"/>
          </w:tcPr>
          <w:p>
            <w:pPr>
              <w:pStyle w:val="13"/>
            </w:pPr>
            <w:r>
              <w:t>118.47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62.20</w:t>
            </w:r>
          </w:p>
        </w:tc>
        <w:tc>
          <w:tcPr>
            <w:tcW w:w="1643" w:type="dxa"/>
            <w:vAlign w:val="center"/>
          </w:tcPr>
          <w:p>
            <w:pPr>
              <w:pStyle w:val="13"/>
            </w:pPr>
            <w:r>
              <w:t>62.20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48.13</w:t>
            </w:r>
          </w:p>
        </w:tc>
        <w:tc>
          <w:tcPr>
            <w:tcW w:w="1643" w:type="dxa"/>
            <w:vAlign w:val="center"/>
          </w:tcPr>
          <w:p>
            <w:pPr>
              <w:pStyle w:val="13"/>
            </w:pPr>
            <w:r>
              <w:t>48.13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101.29</w:t>
            </w:r>
          </w:p>
        </w:tc>
        <w:tc>
          <w:tcPr>
            <w:tcW w:w="1643" w:type="dxa"/>
            <w:vAlign w:val="center"/>
          </w:tcPr>
          <w:p>
            <w:pPr>
              <w:pStyle w:val="13"/>
            </w:pPr>
            <w:r>
              <w:t>101.29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98.18</w:t>
            </w:r>
          </w:p>
        </w:tc>
        <w:tc>
          <w:tcPr>
            <w:tcW w:w="1643" w:type="dxa"/>
            <w:vAlign w:val="center"/>
          </w:tcPr>
          <w:p>
            <w:pPr>
              <w:pStyle w:val="13"/>
            </w:pPr>
            <w:r>
              <w:t>98.18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157.63</w:t>
            </w:r>
          </w:p>
        </w:tc>
        <w:tc>
          <w:tcPr>
            <w:tcW w:w="1643" w:type="dxa"/>
            <w:vAlign w:val="center"/>
          </w:tcPr>
          <w:p>
            <w:pPr>
              <w:pStyle w:val="13"/>
            </w:pPr>
          </w:p>
        </w:tc>
        <w:tc>
          <w:tcPr>
            <w:tcW w:w="1643" w:type="dxa"/>
            <w:vAlign w:val="center"/>
          </w:tcPr>
          <w:p>
            <w:pPr>
              <w:pStyle w:val="13"/>
            </w:pPr>
            <w:r>
              <w:t>157.63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30.80</w:t>
            </w:r>
          </w:p>
        </w:tc>
        <w:tc>
          <w:tcPr>
            <w:tcW w:w="1643" w:type="dxa"/>
            <w:vAlign w:val="center"/>
          </w:tcPr>
          <w:p>
            <w:pPr>
              <w:pStyle w:val="13"/>
            </w:pPr>
          </w:p>
        </w:tc>
        <w:tc>
          <w:tcPr>
            <w:tcW w:w="1643" w:type="dxa"/>
            <w:vAlign w:val="center"/>
          </w:tcPr>
          <w:p>
            <w:pPr>
              <w:pStyle w:val="13"/>
            </w:pPr>
            <w:r>
              <w:t>30.80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36.90</w:t>
            </w:r>
          </w:p>
        </w:tc>
        <w:tc>
          <w:tcPr>
            <w:tcW w:w="1643" w:type="dxa"/>
            <w:vAlign w:val="center"/>
          </w:tcPr>
          <w:p>
            <w:pPr>
              <w:pStyle w:val="13"/>
            </w:pPr>
          </w:p>
        </w:tc>
        <w:tc>
          <w:tcPr>
            <w:tcW w:w="1643" w:type="dxa"/>
            <w:vAlign w:val="center"/>
          </w:tcPr>
          <w:p>
            <w:pPr>
              <w:pStyle w:val="13"/>
            </w:pPr>
            <w:r>
              <w:t>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6.63</w:t>
            </w:r>
          </w:p>
        </w:tc>
        <w:tc>
          <w:tcPr>
            <w:tcW w:w="1643" w:type="dxa"/>
            <w:vAlign w:val="center"/>
          </w:tcPr>
          <w:p>
            <w:pPr>
              <w:pStyle w:val="13"/>
            </w:pPr>
          </w:p>
        </w:tc>
        <w:tc>
          <w:tcPr>
            <w:tcW w:w="1643" w:type="dxa"/>
            <w:vAlign w:val="center"/>
          </w:tcPr>
          <w:p>
            <w:pPr>
              <w:pStyle w:val="13"/>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7.71</w:t>
            </w:r>
          </w:p>
        </w:tc>
        <w:tc>
          <w:tcPr>
            <w:tcW w:w="1643" w:type="dxa"/>
            <w:vAlign w:val="center"/>
          </w:tcPr>
          <w:p>
            <w:pPr>
              <w:pStyle w:val="13"/>
            </w:pPr>
          </w:p>
        </w:tc>
        <w:tc>
          <w:tcPr>
            <w:tcW w:w="1643" w:type="dxa"/>
            <w:vAlign w:val="center"/>
          </w:tcPr>
          <w:p>
            <w:pPr>
              <w:pStyle w:val="13"/>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24.20</w:t>
            </w:r>
          </w:p>
        </w:tc>
        <w:tc>
          <w:tcPr>
            <w:tcW w:w="1643" w:type="dxa"/>
            <w:vAlign w:val="center"/>
          </w:tcPr>
          <w:p>
            <w:pPr>
              <w:pStyle w:val="13"/>
            </w:pPr>
          </w:p>
        </w:tc>
        <w:tc>
          <w:tcPr>
            <w:tcW w:w="1643" w:type="dxa"/>
            <w:vAlign w:val="center"/>
          </w:tcPr>
          <w:p>
            <w:pPr>
              <w:pStyle w:val="13"/>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47.81</w:t>
            </w:r>
          </w:p>
        </w:tc>
        <w:tc>
          <w:tcPr>
            <w:tcW w:w="1643" w:type="dxa"/>
            <w:vAlign w:val="center"/>
          </w:tcPr>
          <w:p>
            <w:pPr>
              <w:pStyle w:val="13"/>
            </w:pPr>
          </w:p>
        </w:tc>
        <w:tc>
          <w:tcPr>
            <w:tcW w:w="1643" w:type="dxa"/>
            <w:vAlign w:val="center"/>
          </w:tcPr>
          <w:p>
            <w:pPr>
              <w:pStyle w:val="13"/>
            </w:pPr>
            <w:r>
              <w:t>47.81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3.58</w:t>
            </w:r>
          </w:p>
        </w:tc>
        <w:tc>
          <w:tcPr>
            <w:tcW w:w="1643" w:type="dxa"/>
            <w:vAlign w:val="center"/>
          </w:tcPr>
          <w:p>
            <w:pPr>
              <w:pStyle w:val="13"/>
            </w:pPr>
          </w:p>
        </w:tc>
        <w:tc>
          <w:tcPr>
            <w:tcW w:w="1643" w:type="dxa"/>
            <w:vAlign w:val="center"/>
          </w:tcPr>
          <w:p>
            <w:pPr>
              <w:pStyle w:val="13"/>
            </w:pPr>
            <w:r>
              <w:t>3.58</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24.2</w:t>
            </w:r>
          </w:p>
        </w:tc>
        <w:tc>
          <w:tcPr>
            <w:tcW w:w="1643" w:type="dxa"/>
            <w:vAlign w:val="center"/>
          </w:tcPr>
          <w:p>
            <w:pPr>
              <w:pStyle w:val="17"/>
              <w:rPr>
                <w:rFonts w:hint="default" w:eastAsia="方正书宋_GBK"/>
                <w:lang w:val="en-US" w:eastAsia="zh-CN"/>
              </w:rPr>
            </w:pPr>
            <w:r>
              <w:rPr>
                <w:rFonts w:hint="eastAsia"/>
                <w:lang w:val="en-US" w:eastAsia="zh-CN"/>
              </w:rPr>
              <w:t>24.2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jc w:val="center"/>
              <w:rPr>
                <w:rFonts w:hint="default" w:eastAsia="方正书宋_GBK"/>
                <w:lang w:val="en-US" w:eastAsia="zh-CN"/>
              </w:rPr>
            </w:pPr>
            <w:r>
              <w:rPr>
                <w:rFonts w:hint="eastAsia"/>
                <w:lang w:val="en-US" w:eastAsia="zh-CN"/>
              </w:rPr>
              <w:t>24.2</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24.20</w:t>
            </w:r>
          </w:p>
        </w:tc>
        <w:tc>
          <w:tcPr>
            <w:tcW w:w="1643" w:type="dxa"/>
            <w:vAlign w:val="center"/>
          </w:tcPr>
          <w:p>
            <w:pPr>
              <w:pStyle w:val="13"/>
            </w:pPr>
            <w:r>
              <w:t>24.20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中国共产党石家庄市藁城区纪律检查委员会2022年部门预算信息公开情况说明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中国共产党石家庄市藁城区纪律检查委员会2022年部门预算信息公开</w:t>
      </w:r>
    </w:p>
    <w:p>
      <w:pPr>
        <w:spacing w:before="0" w:after="0" w:line="240" w:lineRule="auto"/>
        <w:ind w:firstLine="0"/>
        <w:jc w:val="center"/>
        <w:outlineLvl w:val="9"/>
      </w:pPr>
      <w:r>
        <w:rPr>
          <w:rFonts w:ascii="方正小标宋_GBK" w:hAnsi="方正小标宋_GBK" w:eastAsia="方正小标宋_GBK" w:cs="方正小标宋_GBK"/>
          <w:color w:val="000000"/>
          <w:sz w:val="44"/>
        </w:rPr>
        <w:t>情况说明</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按照《预算法》、《地方预决算公开操作规程》和《关于进一步推进预算公开工作的实施意见》规定，现将中国共产党石家庄市藁城区纪律检查委员会2022年部门预算公开如下：</w:t>
      </w:r>
    </w:p>
    <w:p>
      <w:pPr>
        <w:keepNext w:val="0"/>
        <w:keepLines w:val="0"/>
        <w:pageBreakBefore w:val="0"/>
        <w:widowControl/>
        <w:kinsoku/>
        <w:wordWrap/>
        <w:overflowPunct/>
        <w:topLinePunct w:val="0"/>
        <w:bidi w:val="0"/>
        <w:snapToGrid/>
        <w:spacing w:before="10" w:after="10" w:line="360" w:lineRule="auto"/>
        <w:ind w:firstLine="640" w:firstLineChars="20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bidi w:val="0"/>
        <w:snapToGrid/>
        <w:spacing w:before="0" w:after="0" w:line="240" w:lineRule="auto"/>
        <w:ind w:firstLine="643" w:firstLineChars="200"/>
        <w:jc w:val="left"/>
        <w:textAlignment w:val="auto"/>
        <w:outlineLvl w:val="9"/>
      </w:pPr>
      <w:r>
        <w:rPr>
          <w:rFonts w:ascii="方正楷体_GBK" w:hAnsi="方正楷体_GBK" w:eastAsia="方正楷体_GBK" w:cs="方正楷体_GBK"/>
          <w:b/>
          <w:color w:val="000000"/>
          <w:sz w:val="32"/>
        </w:rPr>
        <w:t>部门职责：</w:t>
      </w:r>
    </w:p>
    <w:p>
      <w:pPr>
        <w:pStyle w:val="19"/>
        <w:keepNext w:val="0"/>
        <w:keepLines w:val="0"/>
        <w:pageBreakBefore w:val="0"/>
        <w:widowControl/>
        <w:kinsoku/>
        <w:wordWrap/>
        <w:overflowPunct/>
        <w:topLinePunct w:val="0"/>
        <w:bidi w:val="0"/>
        <w:snapToGrid/>
        <w:ind w:firstLine="560" w:firstLineChars="200"/>
        <w:jc w:val="left"/>
        <w:textAlignment w:val="auto"/>
      </w:pPr>
      <w:r>
        <w:t>部门职责：</w:t>
      </w:r>
    </w:p>
    <w:p>
      <w:pPr>
        <w:pStyle w:val="19"/>
        <w:keepNext w:val="0"/>
        <w:keepLines w:val="0"/>
        <w:pageBreakBefore w:val="0"/>
        <w:widowControl/>
        <w:kinsoku/>
        <w:wordWrap/>
        <w:overflowPunct/>
        <w:topLinePunct w:val="0"/>
        <w:bidi w:val="0"/>
        <w:snapToGrid/>
        <w:ind w:left="0" w:leftChars="0" w:firstLine="560" w:firstLineChars="200"/>
        <w:jc w:val="left"/>
        <w:textAlignment w:val="auto"/>
      </w:pPr>
      <w:r>
        <w:t>加强党内政治生活监督检查。按照《关于新形势下党内政治生活的若干准则》要求，重点检查党的方针政策执行不到位。</w:t>
      </w:r>
    </w:p>
    <w:p>
      <w:pPr>
        <w:pStyle w:val="19"/>
        <w:keepNext w:val="0"/>
        <w:keepLines w:val="0"/>
        <w:pageBreakBefore w:val="0"/>
        <w:widowControl/>
        <w:kinsoku/>
        <w:wordWrap/>
        <w:overflowPunct/>
        <w:topLinePunct w:val="0"/>
        <w:bidi w:val="0"/>
        <w:snapToGrid/>
        <w:ind w:left="0" w:leftChars="0" w:firstLine="560" w:firstLineChars="200"/>
        <w:jc w:val="left"/>
        <w:textAlignment w:val="auto"/>
      </w:pPr>
      <w:r>
        <w:t>严明政治纪律和政治规矩。聚焦解决习近平总书记指出的“七个有之”问题，坚决清除对党不忠诚不老实、阳奉阴违的两面人、两面派，坚决同危害党中央权威和集中统一领导的行为作斗争。</w:t>
      </w:r>
    </w:p>
    <w:p>
      <w:pPr>
        <w:pStyle w:val="19"/>
        <w:keepNext w:val="0"/>
        <w:keepLines w:val="0"/>
        <w:pageBreakBefore w:val="0"/>
        <w:widowControl/>
        <w:kinsoku/>
        <w:wordWrap/>
        <w:overflowPunct/>
        <w:topLinePunct w:val="0"/>
        <w:bidi w:val="0"/>
        <w:snapToGrid/>
        <w:ind w:firstLine="560" w:firstLineChars="200"/>
        <w:jc w:val="left"/>
        <w:textAlignment w:val="auto"/>
      </w:pPr>
      <w:r>
        <w:t>净化党内政治生态。聚焦政治立场、政治原则、政治担当和政治纪律，强化监督执纪问责，不断强化“一把手”管党治党的责任意识、担当意识。</w:t>
      </w:r>
    </w:p>
    <w:p>
      <w:pPr>
        <w:pStyle w:val="19"/>
        <w:keepNext w:val="0"/>
        <w:keepLines w:val="0"/>
        <w:pageBreakBefore w:val="0"/>
        <w:widowControl/>
        <w:kinsoku/>
        <w:wordWrap/>
        <w:overflowPunct/>
        <w:topLinePunct w:val="0"/>
        <w:bidi w:val="0"/>
        <w:snapToGrid/>
        <w:ind w:firstLine="560" w:firstLineChars="200"/>
        <w:jc w:val="left"/>
        <w:textAlignment w:val="auto"/>
      </w:pPr>
      <w:r>
        <w:t>要以钉钉子精神打好持久战。重点开展“五紧盯五严查”：紧盯形式主义、官僚主义，严查表态多调门高、行动少落实差等行为；紧盯享乐主义和奢靡之风，严查顶风违纪行为；紧盯不作为乱作为慢作为问题，严查吃拿卡要、以权谋私等行为；紧盯窗口单位、基层站所、“两委”干部漠视市场主体和群众利益问题，严查态度生硬、推诿扯皮等行为。</w:t>
      </w:r>
    </w:p>
    <w:p>
      <w:pPr>
        <w:pStyle w:val="19"/>
        <w:keepNext w:val="0"/>
        <w:keepLines w:val="0"/>
        <w:pageBreakBefore w:val="0"/>
        <w:widowControl/>
        <w:kinsoku/>
        <w:wordWrap/>
        <w:overflowPunct/>
        <w:topLinePunct w:val="0"/>
        <w:bidi w:val="0"/>
        <w:snapToGrid/>
        <w:ind w:firstLine="560" w:firstLineChars="200"/>
        <w:jc w:val="left"/>
        <w:textAlignment w:val="auto"/>
      </w:pPr>
      <w:r>
        <w:t>要坚决反对特权思想和特权现象。党员领导干部要坚持以上率下，经常摆表现、找差距，带头转变作风；要严格家教家风，严格教育管理亲属和身边工作人员，形成“头雁效应”。加强对办公用房、公车管理、公务接待、会议文件、生活待遇、婚丧嫁娶等制度落实情况的监督检查，决不让特权行为滋长蔓延。</w:t>
      </w:r>
    </w:p>
    <w:p>
      <w:pPr>
        <w:pStyle w:val="19"/>
        <w:keepNext w:val="0"/>
        <w:keepLines w:val="0"/>
        <w:pageBreakBefore w:val="0"/>
        <w:widowControl/>
        <w:kinsoku/>
        <w:wordWrap/>
        <w:overflowPunct/>
        <w:topLinePunct w:val="0"/>
        <w:bidi w:val="0"/>
        <w:snapToGrid/>
        <w:ind w:firstLine="560" w:firstLineChars="200"/>
        <w:jc w:val="left"/>
        <w:textAlignment w:val="auto"/>
      </w:pPr>
      <w:r>
        <w:t>要教育引导党员干部增强群众感情。督促党员干部经常回顾党史、重温入党誓词，树牢宗旨意识，切实做到尊重群众、贴近群众、凝聚群众、服务群众。完善密切联系群众相关制度，构建作风建设长效机制，教育引导党员干部自觉传承优良传统和作风，学习革命先辈的崇高精神和政治品质，牢记“两个务必”，真心诚意做好群众工作。</w:t>
      </w:r>
    </w:p>
    <w:p>
      <w:pPr>
        <w:pStyle w:val="19"/>
        <w:keepNext w:val="0"/>
        <w:keepLines w:val="0"/>
        <w:pageBreakBefore w:val="0"/>
        <w:widowControl/>
        <w:kinsoku/>
        <w:wordWrap/>
        <w:overflowPunct/>
        <w:topLinePunct w:val="0"/>
        <w:bidi w:val="0"/>
        <w:snapToGrid/>
        <w:ind w:firstLine="560" w:firstLineChars="200"/>
        <w:jc w:val="left"/>
        <w:textAlignment w:val="auto"/>
      </w:pPr>
      <w:r>
        <w:t>要深化政治巡察。突出政治这个最高标准，重点检查贯彻落实党的十九大精神情况，检查党的领导、党的建设、全面从严治党情况，检查落实党中央和省、市重大决策部署，完成区委重点工作情况，检查遵守党规党纪，执行中央八项规定精神，纠正“四风”情况。</w:t>
      </w:r>
    </w:p>
    <w:p>
      <w:pPr>
        <w:pStyle w:val="19"/>
        <w:keepNext w:val="0"/>
        <w:keepLines w:val="0"/>
        <w:pageBreakBefore w:val="0"/>
        <w:widowControl/>
        <w:kinsoku/>
        <w:wordWrap/>
        <w:overflowPunct/>
        <w:topLinePunct w:val="0"/>
        <w:bidi w:val="0"/>
        <w:snapToGrid/>
        <w:ind w:firstLine="560" w:firstLineChars="200"/>
        <w:jc w:val="left"/>
        <w:textAlignment w:val="auto"/>
      </w:pPr>
      <w:r>
        <w:t>要提升巡察质量。把问题导向贯穿巡察全过程，善于发现问题，如实报告问题，推动解决问题。把所有党政机关和事业单位全部纳入巡察监督范围，实现巡察无死角、监督无例外。到今年底完成五年规划全覆盖任务的50%。建立我区巡察人才库，实现常规巡察、专项巡察、机动巡察、巡察“回头看”常态化。</w:t>
      </w:r>
    </w:p>
    <w:p>
      <w:pPr>
        <w:pStyle w:val="19"/>
        <w:keepNext w:val="0"/>
        <w:keepLines w:val="0"/>
        <w:pageBreakBefore w:val="0"/>
        <w:widowControl/>
        <w:kinsoku/>
        <w:wordWrap/>
        <w:overflowPunct/>
        <w:topLinePunct w:val="0"/>
        <w:bidi w:val="0"/>
        <w:snapToGrid/>
        <w:ind w:firstLine="560" w:firstLineChars="200"/>
        <w:jc w:val="left"/>
        <w:textAlignment w:val="auto"/>
      </w:pPr>
      <w:r>
        <w:t>要巩固巡察成果。对开展巡察的乡镇、区直部门，健全整改督查制度，督促分类处置，狠抓整改落实，确保条条有整改、件件有着落。强化整改问责，对整改走过场、搞应付的，除追究主管领导责任外，还要对乡镇、部门主要领导进行问责。</w:t>
      </w:r>
    </w:p>
    <w:p>
      <w:pPr>
        <w:pStyle w:val="19"/>
        <w:keepNext w:val="0"/>
        <w:keepLines w:val="0"/>
        <w:pageBreakBefore w:val="0"/>
        <w:widowControl/>
        <w:kinsoku/>
        <w:wordWrap/>
        <w:overflowPunct/>
        <w:topLinePunct w:val="0"/>
        <w:bidi w:val="0"/>
        <w:snapToGrid/>
        <w:ind w:firstLine="560" w:firstLineChars="200"/>
        <w:jc w:val="left"/>
        <w:textAlignment w:val="auto"/>
      </w:pPr>
      <w:r>
        <w:t>抓好正反两方面纪律教育。要加强正面引导，把党章党规党纪特别是新形势下党内政治生活若干准则、党内监督条例、纪律处分条例、问责条例。</w:t>
      </w:r>
    </w:p>
    <w:p>
      <w:pPr>
        <w:pStyle w:val="19"/>
        <w:keepNext w:val="0"/>
        <w:keepLines w:val="0"/>
        <w:pageBreakBefore w:val="0"/>
        <w:widowControl/>
        <w:kinsoku/>
        <w:wordWrap/>
        <w:overflowPunct/>
        <w:topLinePunct w:val="0"/>
        <w:bidi w:val="0"/>
        <w:snapToGrid/>
        <w:ind w:firstLine="560" w:firstLineChars="200"/>
        <w:jc w:val="left"/>
        <w:textAlignment w:val="auto"/>
      </w:pPr>
      <w:r>
        <w:t>处理好“森林”和“树木”的关系。“四种形态”即经常开展批评与自我批评、约谈函询，让“红红脸、出出汗”成为常态。</w:t>
      </w:r>
    </w:p>
    <w:p>
      <w:pPr>
        <w:pStyle w:val="19"/>
        <w:keepNext w:val="0"/>
        <w:keepLines w:val="0"/>
        <w:pageBreakBefore w:val="0"/>
        <w:widowControl/>
        <w:kinsoku/>
        <w:wordWrap/>
        <w:overflowPunct/>
        <w:topLinePunct w:val="0"/>
        <w:bidi w:val="0"/>
        <w:snapToGrid/>
        <w:ind w:firstLine="560" w:firstLineChars="200"/>
        <w:jc w:val="left"/>
        <w:textAlignment w:val="auto"/>
      </w:pPr>
      <w:r>
        <w:t>使纪律始终成为带电的“高压线”。加强日常监督执纪，重点强化政治纪律和组织纪律，带动廉洁纪律、群众纪律、工作纪律、生活纪律严起来，发现苗头就及时提醒纠正，触犯纪律就立即严肃处理，做到真管真严、敢管敢严、长管长严。</w:t>
      </w:r>
    </w:p>
    <w:p>
      <w:pPr>
        <w:keepNext w:val="0"/>
        <w:keepLines w:val="0"/>
        <w:pageBreakBefore w:val="0"/>
        <w:widowControl/>
        <w:kinsoku/>
        <w:wordWrap/>
        <w:overflowPunct/>
        <w:topLinePunct w:val="0"/>
        <w:bidi w:val="0"/>
        <w:snapToGrid/>
        <w:spacing w:before="0" w:after="0" w:line="240" w:lineRule="auto"/>
        <w:ind w:firstLine="643" w:firstLineChars="20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bidi w:val="0"/>
        <w:snapToGrid/>
        <w:spacing w:before="0" w:after="0" w:line="240" w:lineRule="auto"/>
        <w:ind w:firstLine="640" w:firstLineChars="200"/>
        <w:jc w:val="left"/>
        <w:textAlignment w:val="auto"/>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keepNext w:val="0"/>
              <w:keepLines w:val="0"/>
              <w:pageBreakBefore w:val="0"/>
              <w:widowControl/>
              <w:kinsoku/>
              <w:wordWrap/>
              <w:overflowPunct/>
              <w:topLinePunct w:val="0"/>
              <w:bidi w:val="0"/>
              <w:snapToGrid/>
              <w:ind w:firstLine="420" w:firstLineChars="200"/>
              <w:jc w:val="left"/>
              <w:textAlignment w:val="auto"/>
            </w:pPr>
            <w:r>
              <w:t>单位名称</w:t>
            </w:r>
          </w:p>
        </w:tc>
        <w:tc>
          <w:tcPr>
            <w:tcW w:w="2464" w:type="dxa"/>
            <w:vAlign w:val="center"/>
          </w:tcPr>
          <w:p>
            <w:pPr>
              <w:pStyle w:val="12"/>
              <w:keepNext w:val="0"/>
              <w:keepLines w:val="0"/>
              <w:pageBreakBefore w:val="0"/>
              <w:widowControl/>
              <w:kinsoku/>
              <w:wordWrap/>
              <w:overflowPunct/>
              <w:topLinePunct w:val="0"/>
              <w:bidi w:val="0"/>
              <w:snapToGrid/>
              <w:ind w:firstLine="420" w:firstLineChars="200"/>
              <w:jc w:val="left"/>
              <w:textAlignment w:val="auto"/>
            </w:pPr>
            <w:r>
              <w:t>单位性质</w:t>
            </w:r>
          </w:p>
        </w:tc>
        <w:tc>
          <w:tcPr>
            <w:tcW w:w="2464" w:type="dxa"/>
            <w:vAlign w:val="center"/>
          </w:tcPr>
          <w:p>
            <w:pPr>
              <w:pStyle w:val="12"/>
              <w:keepNext w:val="0"/>
              <w:keepLines w:val="0"/>
              <w:pageBreakBefore w:val="0"/>
              <w:widowControl/>
              <w:kinsoku/>
              <w:wordWrap/>
              <w:overflowPunct/>
              <w:topLinePunct w:val="0"/>
              <w:bidi w:val="0"/>
              <w:snapToGrid/>
              <w:ind w:firstLine="420" w:firstLineChars="200"/>
              <w:jc w:val="left"/>
              <w:textAlignment w:val="auto"/>
            </w:pPr>
            <w:r>
              <w:t>单位规格</w:t>
            </w:r>
          </w:p>
        </w:tc>
        <w:tc>
          <w:tcPr>
            <w:tcW w:w="2464" w:type="dxa"/>
            <w:vAlign w:val="center"/>
          </w:tcPr>
          <w:p>
            <w:pPr>
              <w:pStyle w:val="12"/>
              <w:keepNext w:val="0"/>
              <w:keepLines w:val="0"/>
              <w:pageBreakBefore w:val="0"/>
              <w:widowControl/>
              <w:kinsoku/>
              <w:wordWrap/>
              <w:overflowPunct/>
              <w:topLinePunct w:val="0"/>
              <w:bidi w:val="0"/>
              <w:snapToGrid/>
              <w:ind w:firstLine="420" w:firstLineChars="200"/>
              <w:jc w:val="lef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keepNext w:val="0"/>
              <w:keepLines w:val="0"/>
              <w:pageBreakBefore w:val="0"/>
              <w:widowControl/>
              <w:kinsoku/>
              <w:wordWrap/>
              <w:overflowPunct/>
              <w:topLinePunct w:val="0"/>
              <w:bidi w:val="0"/>
              <w:snapToGrid/>
              <w:ind w:firstLine="420" w:firstLineChars="200"/>
              <w:jc w:val="left"/>
              <w:textAlignment w:val="auto"/>
            </w:pPr>
            <w:r>
              <w:t>中国共产党石家庄市藁城区纪律检查委员会本级</w:t>
            </w:r>
          </w:p>
        </w:tc>
        <w:tc>
          <w:tcPr>
            <w:tcW w:w="2464" w:type="dxa"/>
            <w:vAlign w:val="center"/>
          </w:tcPr>
          <w:p>
            <w:pPr>
              <w:pStyle w:val="15"/>
              <w:keepNext w:val="0"/>
              <w:keepLines w:val="0"/>
              <w:pageBreakBefore w:val="0"/>
              <w:widowControl/>
              <w:kinsoku/>
              <w:wordWrap/>
              <w:overflowPunct/>
              <w:topLinePunct w:val="0"/>
              <w:bidi w:val="0"/>
              <w:snapToGrid/>
              <w:ind w:firstLine="420" w:firstLineChars="200"/>
              <w:jc w:val="left"/>
              <w:textAlignment w:val="auto"/>
            </w:pPr>
            <w:r>
              <w:t>行政</w:t>
            </w:r>
          </w:p>
        </w:tc>
        <w:tc>
          <w:tcPr>
            <w:tcW w:w="2464" w:type="dxa"/>
            <w:vAlign w:val="center"/>
          </w:tcPr>
          <w:p>
            <w:pPr>
              <w:pStyle w:val="15"/>
              <w:keepNext w:val="0"/>
              <w:keepLines w:val="0"/>
              <w:pageBreakBefore w:val="0"/>
              <w:widowControl/>
              <w:kinsoku/>
              <w:wordWrap/>
              <w:overflowPunct/>
              <w:topLinePunct w:val="0"/>
              <w:bidi w:val="0"/>
              <w:snapToGrid/>
              <w:ind w:firstLine="420" w:firstLineChars="200"/>
              <w:jc w:val="left"/>
              <w:textAlignment w:val="auto"/>
            </w:pPr>
            <w:r>
              <w:t>正科级</w:t>
            </w:r>
          </w:p>
        </w:tc>
        <w:tc>
          <w:tcPr>
            <w:tcW w:w="2464" w:type="dxa"/>
            <w:vAlign w:val="center"/>
          </w:tcPr>
          <w:p>
            <w:pPr>
              <w:pStyle w:val="15"/>
              <w:keepNext w:val="0"/>
              <w:keepLines w:val="0"/>
              <w:pageBreakBefore w:val="0"/>
              <w:widowControl/>
              <w:kinsoku/>
              <w:wordWrap/>
              <w:overflowPunct/>
              <w:topLinePunct w:val="0"/>
              <w:bidi w:val="0"/>
              <w:snapToGrid/>
              <w:ind w:firstLine="420" w:firstLineChars="200"/>
              <w:jc w:val="left"/>
              <w:textAlignment w:val="auto"/>
            </w:pPr>
            <w:r>
              <w:t>财政拨款</w:t>
            </w:r>
          </w:p>
        </w:tc>
      </w:tr>
    </w:tbl>
    <w:p>
      <w:pPr>
        <w:keepNext w:val="0"/>
        <w:keepLines w:val="0"/>
        <w:pageBreakBefore w:val="0"/>
        <w:widowControl/>
        <w:kinsoku/>
        <w:wordWrap/>
        <w:overflowPunct/>
        <w:topLinePunct w:val="0"/>
        <w:bidi w:val="0"/>
        <w:snapToGrid/>
        <w:spacing w:before="10" w:after="10" w:line="360" w:lineRule="auto"/>
        <w:ind w:firstLine="640" w:firstLineChars="20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按照预算管理有关规定，目前我省部门预算的编制实行综合预算管理，即全部收入和支出都反映在预算中。中国共产党石家庄市藁城区纪律检查委员会机关及所属事业单位的收支包含在部门预算中。</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万元，基金预算收入0万元，财政专户核拨收入0万元，其他来源收入0万元。</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收支预算总表支出栏、基本支出表、项目支出表按经济分类和支出功能分类科目编制，反映中国共产党石家庄市藁城区纪律检查委员会预算中支出预算的总体情况。</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1482.78</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1325.16</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157.63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539</w:t>
      </w:r>
      <w:r>
        <w:rPr>
          <w:rFonts w:hint="eastAsia"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lang w:eastAsia="zh-CN"/>
        </w:rPr>
        <w:t>大案要案查处</w:t>
      </w:r>
      <w:r>
        <w:rPr>
          <w:rFonts w:hint="eastAsia" w:eastAsia="方正仿宋_GBK" w:cs="Times New Roman"/>
          <w:color w:val="000000"/>
          <w:sz w:val="28"/>
          <w:lang w:val="en-US" w:eastAsia="zh-CN"/>
        </w:rPr>
        <w:t>199.8</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一般行政管理</w:t>
      </w:r>
      <w:r>
        <w:rPr>
          <w:rFonts w:hint="eastAsia" w:eastAsia="方正仿宋_GBK" w:cs="Times New Roman"/>
          <w:color w:val="000000"/>
          <w:sz w:val="28"/>
          <w:lang w:val="en-US" w:eastAsia="zh-CN"/>
        </w:rPr>
        <w:t>339.2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其他支出0万元。</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ascii="Times New Roman" w:hAnsi="Times New Roman" w:eastAsia="方正仿宋_GBK" w:cs="Times New Roman"/>
          <w:color w:val="000000"/>
          <w:sz w:val="28"/>
        </w:rPr>
        <w:t>比上年增减情况</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年部门预算收支安排</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95.28</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46.08</w:t>
      </w:r>
      <w:r>
        <w:rPr>
          <w:rFonts w:hint="eastAsia" w:ascii="Times New Roman" w:hAnsi="Times New Roman" w:eastAsia="方正仿宋_GBK" w:cs="Times New Roman"/>
          <w:color w:val="000000"/>
          <w:sz w:val="28"/>
        </w:rPr>
        <w:t>万元，主要是人员</w:t>
      </w:r>
      <w:r>
        <w:rPr>
          <w:rFonts w:hint="eastAsia" w:eastAsia="方正仿宋_GBK" w:cs="Times New Roman"/>
          <w:color w:val="000000"/>
          <w:sz w:val="28"/>
          <w:lang w:eastAsia="zh-CN"/>
        </w:rPr>
        <w:t>工资提升增加</w:t>
      </w:r>
      <w:r>
        <w:rPr>
          <w:rFonts w:hint="eastAsia" w:ascii="Times New Roman" w:hAnsi="Times New Roman" w:eastAsia="方正仿宋_GBK" w:cs="Times New Roman"/>
          <w:color w:val="000000"/>
          <w:sz w:val="28"/>
        </w:rPr>
        <w:t>，相应</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人员经费；项目支出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49.2</w:t>
      </w:r>
      <w:r>
        <w:rPr>
          <w:rFonts w:hint="eastAsia" w:ascii="Times New Roman" w:hAnsi="Times New Roman" w:eastAsia="方正仿宋_GBK" w:cs="Times New Roman"/>
          <w:color w:val="000000"/>
          <w:sz w:val="28"/>
        </w:rPr>
        <w:t>万元，主要是</w:t>
      </w:r>
      <w:r>
        <w:rPr>
          <w:rFonts w:hint="eastAsia" w:eastAsia="方正仿宋_GBK" w:cs="Times New Roman"/>
          <w:color w:val="000000"/>
          <w:sz w:val="28"/>
          <w:lang w:eastAsia="zh-CN"/>
        </w:rPr>
        <w:t>增加营商环境举报中心劳务派遣人员工资</w:t>
      </w:r>
      <w:r>
        <w:rPr>
          <w:rFonts w:hint="eastAsia" w:ascii="Times New Roman" w:hAnsi="Times New Roman" w:eastAsia="方正仿宋_GBK" w:cs="Times New Roman"/>
          <w:color w:val="000000"/>
          <w:sz w:val="28"/>
        </w:rPr>
        <w:t>。</w:t>
      </w:r>
    </w:p>
    <w:p>
      <w:pPr>
        <w:keepNext w:val="0"/>
        <w:keepLines w:val="0"/>
        <w:pageBreakBefore w:val="0"/>
        <w:widowControl/>
        <w:numPr>
          <w:ilvl w:val="0"/>
          <w:numId w:val="1"/>
        </w:numPr>
        <w:kinsoku/>
        <w:wordWrap/>
        <w:overflowPunct/>
        <w:topLinePunct w:val="0"/>
        <w:bidi w:val="0"/>
        <w:snapToGrid/>
        <w:spacing w:before="10" w:after="10" w:line="360" w:lineRule="auto"/>
        <w:ind w:firstLine="640" w:firstLineChars="200"/>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keepNext w:val="0"/>
        <w:keepLines w:val="0"/>
        <w:pageBreakBefore w:val="0"/>
        <w:widowControl/>
        <w:kinsoku/>
        <w:wordWrap/>
        <w:overflowPunct/>
        <w:topLinePunct w:val="0"/>
        <w:autoSpaceDE w:val="0"/>
        <w:autoSpaceDN w:val="0"/>
        <w:bidi w:val="0"/>
        <w:adjustRightInd w:val="0"/>
        <w:snapToGrid/>
        <w:ind w:firstLine="560" w:firstLineChars="200"/>
        <w:jc w:val="left"/>
        <w:textAlignment w:val="auto"/>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年，我部门机关运行经费共计安排</w:t>
      </w:r>
      <w:r>
        <w:rPr>
          <w:rFonts w:hint="eastAsia" w:eastAsia="方正仿宋_GBK" w:cs="Times New Roman"/>
          <w:color w:val="000000"/>
          <w:sz w:val="28"/>
          <w:lang w:val="en-US" w:eastAsia="zh-CN"/>
        </w:rPr>
        <w:t>157.63</w:t>
      </w:r>
      <w:r>
        <w:rPr>
          <w:rFonts w:hint="eastAsia" w:eastAsia="方正仿宋_GBK" w:cs="Times New Roman"/>
          <w:color w:val="000000"/>
          <w:sz w:val="28"/>
          <w:lang w:eastAsia="zh-CN"/>
        </w:rPr>
        <w:t>元，主要用于保证机关正常运转的办公及印刷费、福利费、公务车运行维护费等支出。</w:t>
      </w:r>
    </w:p>
    <w:p>
      <w:pPr>
        <w:keepNext w:val="0"/>
        <w:keepLines w:val="0"/>
        <w:pageBreakBefore w:val="0"/>
        <w:widowControl/>
        <w:numPr>
          <w:ilvl w:val="0"/>
          <w:numId w:val="1"/>
        </w:numPr>
        <w:kinsoku/>
        <w:wordWrap/>
        <w:overflowPunct/>
        <w:topLinePunct w:val="0"/>
        <w:bidi w:val="0"/>
        <w:snapToGrid/>
        <w:spacing w:before="10" w:after="10" w:line="360" w:lineRule="auto"/>
        <w:ind w:left="0" w:leftChars="0" w:firstLine="640" w:firstLineChars="200"/>
        <w:jc w:val="left"/>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keepNext w:val="0"/>
        <w:keepLines w:val="0"/>
        <w:pageBreakBefore w:val="0"/>
        <w:widowControl/>
        <w:numPr>
          <w:ilvl w:val="0"/>
          <w:numId w:val="0"/>
        </w:numPr>
        <w:kinsoku/>
        <w:wordWrap/>
        <w:overflowPunct/>
        <w:topLinePunct w:val="0"/>
        <w:bidi w:val="0"/>
        <w:snapToGrid/>
        <w:spacing w:before="10" w:after="10" w:line="360" w:lineRule="auto"/>
        <w:ind w:firstLine="560" w:firstLineChars="200"/>
        <w:jc w:val="left"/>
        <w:textAlignment w:val="auto"/>
        <w:outlineLvl w:val="2"/>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年，我部门财政拨款“三公”经费预算安排</w:t>
      </w:r>
      <w:r>
        <w:rPr>
          <w:rFonts w:hint="eastAsia" w:eastAsia="方正仿宋_GBK" w:cs="Times New Roman"/>
          <w:color w:val="000000"/>
          <w:sz w:val="28"/>
          <w:lang w:val="en-US" w:eastAsia="zh-CN"/>
        </w:rPr>
        <w:t>24.2</w:t>
      </w:r>
      <w:r>
        <w:rPr>
          <w:rFonts w:hint="eastAsia" w:eastAsia="方正仿宋_GBK" w:cs="Times New Roman"/>
          <w:color w:val="000000"/>
          <w:sz w:val="28"/>
          <w:lang w:eastAsia="zh-CN"/>
        </w:rPr>
        <w:t>万元，其中：因公出国（境）费</w:t>
      </w:r>
      <w:r>
        <w:rPr>
          <w:rFonts w:hint="eastAsia" w:eastAsia="方正仿宋_GBK" w:cs="Times New Roman"/>
          <w:color w:val="000000"/>
          <w:sz w:val="28"/>
          <w:lang w:val="en-US" w:eastAsia="zh-CN"/>
        </w:rPr>
        <w:t>0</w:t>
      </w:r>
      <w:r>
        <w:rPr>
          <w:rFonts w:hint="eastAsia" w:eastAsia="方正仿宋_GBK" w:cs="Times New Roman"/>
          <w:color w:val="000000"/>
          <w:sz w:val="28"/>
          <w:lang w:eastAsia="zh-CN"/>
        </w:rPr>
        <w:t>万元；公务用车购置及运维费24</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万元（其中：公务用车购置费0万元，公务用车运行维护费</w:t>
      </w:r>
      <w:r>
        <w:rPr>
          <w:rFonts w:hint="eastAsia" w:eastAsia="方正仿宋_GBK" w:cs="Times New Roman"/>
          <w:color w:val="000000"/>
          <w:sz w:val="28"/>
          <w:lang w:val="en-US" w:eastAsia="zh-CN"/>
        </w:rPr>
        <w:t>24.2</w:t>
      </w:r>
      <w:r>
        <w:rPr>
          <w:rFonts w:hint="eastAsia" w:eastAsia="方正仿宋_GBK" w:cs="Times New Roman"/>
          <w:color w:val="000000"/>
          <w:sz w:val="28"/>
          <w:lang w:eastAsia="zh-CN"/>
        </w:rPr>
        <w:t>万元)；公务接待费</w:t>
      </w:r>
      <w:r>
        <w:rPr>
          <w:rFonts w:hint="eastAsia" w:eastAsia="方正仿宋_GBK" w:cs="Times New Roman"/>
          <w:color w:val="000000"/>
          <w:sz w:val="28"/>
          <w:lang w:val="en-US" w:eastAsia="zh-CN"/>
        </w:rPr>
        <w:t>0</w:t>
      </w:r>
      <w:r>
        <w:rPr>
          <w:rFonts w:hint="eastAsia" w:eastAsia="方正仿宋_GBK" w:cs="Times New Roman"/>
          <w:color w:val="000000"/>
          <w:sz w:val="28"/>
          <w:lang w:eastAsia="zh-CN"/>
        </w:rPr>
        <w:t>万元。“三公”经费与上年持平，无增减变化</w:t>
      </w:r>
      <w:r>
        <w:rPr>
          <w:rFonts w:hint="eastAsia" w:eastAsia="仿宋" w:cs="Times New Roman"/>
          <w:sz w:val="32"/>
          <w:szCs w:val="32"/>
          <w:lang w:eastAsia="zh-CN"/>
        </w:rPr>
        <w:t>。</w:t>
      </w:r>
    </w:p>
    <w:p>
      <w:pPr>
        <w:keepNext w:val="0"/>
        <w:keepLines w:val="0"/>
        <w:pageBreakBefore w:val="0"/>
        <w:widowControl/>
        <w:kinsoku/>
        <w:wordWrap/>
        <w:overflowPunct/>
        <w:topLinePunct w:val="0"/>
        <w:bidi w:val="0"/>
        <w:snapToGrid/>
        <w:spacing w:before="10" w:after="10" w:line="360" w:lineRule="auto"/>
        <w:ind w:firstLine="640" w:firstLineChars="200"/>
        <w:jc w:val="left"/>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bidi w:val="0"/>
        <w:snapToGrid/>
        <w:spacing w:before="0" w:after="0" w:line="240" w:lineRule="auto"/>
        <w:ind w:firstLine="643" w:firstLineChars="200"/>
        <w:jc w:val="left"/>
        <w:textAlignment w:val="auto"/>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pPr>
      <w:r>
        <w:rPr>
          <w:rFonts w:ascii="Times New Roman" w:hAnsi="Times New Roman" w:eastAsia="方正仿宋_GBK" w:cs="Times New Roman"/>
          <w:color w:val="000000"/>
          <w:sz w:val="28"/>
        </w:rPr>
        <w:t>（一）总体绩效目标</w:t>
      </w:r>
    </w:p>
    <w:p>
      <w:pPr>
        <w:pStyle w:val="23"/>
        <w:keepNext w:val="0"/>
        <w:keepLines w:val="0"/>
        <w:pageBreakBefore w:val="0"/>
        <w:widowControl/>
        <w:kinsoku/>
        <w:wordWrap/>
        <w:overflowPunct/>
        <w:topLinePunct w:val="0"/>
        <w:bidi w:val="0"/>
        <w:snapToGrid/>
        <w:ind w:firstLine="560" w:firstLineChars="200"/>
        <w:jc w:val="left"/>
        <w:textAlignment w:val="auto"/>
      </w:pPr>
      <w:r>
        <w:t>一、总体绩效目标</w:t>
      </w:r>
    </w:p>
    <w:p>
      <w:pPr>
        <w:pStyle w:val="23"/>
        <w:keepNext w:val="0"/>
        <w:keepLines w:val="0"/>
        <w:pageBreakBefore w:val="0"/>
        <w:widowControl/>
        <w:kinsoku/>
        <w:wordWrap/>
        <w:overflowPunct/>
        <w:topLinePunct w:val="0"/>
        <w:bidi w:val="0"/>
        <w:snapToGrid/>
        <w:ind w:firstLine="560" w:firstLineChars="200"/>
        <w:jc w:val="left"/>
        <w:textAlignment w:val="auto"/>
      </w:pPr>
      <w:r>
        <w:t>根据《中共石家庄市委办公厅、石家庄市人民政府办公厅关于印发&lt;石家庄藁城区机构改革方案&gt;的通知》，藁城区制定了《藁城区纪委监委机关职能配置、内设机构和人员编制规定》，结合藁城区纪委监委的主要职责及工作特点，石家庄市藁城区纪律检查委员会2022年部门总体绩效目标是：</w:t>
      </w:r>
    </w:p>
    <w:p>
      <w:pPr>
        <w:pStyle w:val="23"/>
        <w:keepNext w:val="0"/>
        <w:keepLines w:val="0"/>
        <w:pageBreakBefore w:val="0"/>
        <w:widowControl/>
        <w:kinsoku/>
        <w:wordWrap/>
        <w:overflowPunct/>
        <w:topLinePunct w:val="0"/>
        <w:bidi w:val="0"/>
        <w:snapToGrid/>
        <w:ind w:firstLine="560" w:firstLineChars="200"/>
        <w:jc w:val="left"/>
        <w:textAlignment w:val="auto"/>
      </w:pPr>
      <w:r>
        <w:t>加强党内政治生活监督检查。按照《关于新形势下党内政治生活的若干准则》要求，重点检查党的方针政策执行不到位。</w:t>
      </w:r>
    </w:p>
    <w:p>
      <w:pPr>
        <w:pStyle w:val="23"/>
        <w:keepNext w:val="0"/>
        <w:keepLines w:val="0"/>
        <w:pageBreakBefore w:val="0"/>
        <w:widowControl/>
        <w:kinsoku/>
        <w:wordWrap/>
        <w:overflowPunct/>
        <w:topLinePunct w:val="0"/>
        <w:bidi w:val="0"/>
        <w:snapToGrid/>
        <w:ind w:firstLine="560" w:firstLineChars="200"/>
        <w:jc w:val="left"/>
        <w:textAlignment w:val="auto"/>
      </w:pPr>
      <w:r>
        <w:t>对受理信访、举报，集中管理问题线索、组织协调案件查办，调查、审查违纪违法案件，对案件审理提出处理意见达到95%以上。组织协调全区党风廉政建设和反腐败宣传教育工作，开展对党员干部的廉洁从政教育，每月至少开展一次宣传教育大会，播放宣传视频。</w:t>
      </w:r>
    </w:p>
    <w:p>
      <w:pPr>
        <w:pStyle w:val="23"/>
        <w:keepNext w:val="0"/>
        <w:keepLines w:val="0"/>
        <w:pageBreakBefore w:val="0"/>
        <w:widowControl/>
        <w:kinsoku/>
        <w:wordWrap/>
        <w:overflowPunct/>
        <w:topLinePunct w:val="0"/>
        <w:bidi w:val="0"/>
        <w:snapToGrid/>
        <w:ind w:firstLine="560" w:firstLineChars="200"/>
        <w:jc w:val="left"/>
        <w:textAlignment w:val="auto"/>
      </w:pPr>
      <w:r>
        <w:t>严明政治纪律和政治规矩。聚焦解决习近平总书记指出的“七个有之”问题，坚决清除对党不忠诚不老实、阳奉阴违的两面人、两面派，坚决同危害党中央权威和集中统一领导的行为作斗争。</w:t>
      </w:r>
    </w:p>
    <w:p>
      <w:pPr>
        <w:pStyle w:val="23"/>
        <w:keepNext w:val="0"/>
        <w:keepLines w:val="0"/>
        <w:pageBreakBefore w:val="0"/>
        <w:widowControl/>
        <w:kinsoku/>
        <w:wordWrap/>
        <w:overflowPunct/>
        <w:topLinePunct w:val="0"/>
        <w:bidi w:val="0"/>
        <w:snapToGrid/>
        <w:ind w:firstLine="560" w:firstLineChars="200"/>
        <w:jc w:val="left"/>
        <w:textAlignment w:val="auto"/>
      </w:pPr>
      <w:r>
        <w:t>净化党内政治生态。聚焦政治立场、政治原则、政治担当和政治纪律，强化监督执纪问责，不断强化“一把手”管党治党的责任意识、担当意识。</w:t>
      </w:r>
    </w:p>
    <w:p>
      <w:pPr>
        <w:pStyle w:val="23"/>
        <w:keepNext w:val="0"/>
        <w:keepLines w:val="0"/>
        <w:pageBreakBefore w:val="0"/>
        <w:widowControl/>
        <w:kinsoku/>
        <w:wordWrap/>
        <w:overflowPunct/>
        <w:topLinePunct w:val="0"/>
        <w:bidi w:val="0"/>
        <w:snapToGrid/>
        <w:ind w:firstLine="560" w:firstLineChars="200"/>
        <w:jc w:val="left"/>
        <w:textAlignment w:val="auto"/>
      </w:pPr>
      <w:r>
        <w:t>教育引导党员干部增强群众感情。督促党员干部经常回顾党史、重温入党誓词，树牢宗旨意识，切实做到尊重群众、贴近群众、凝聚群众、服务群众。完善密切联系群众相关制度，构建作风建设长效机制，教育引导党员干部自觉传承优良传统和作风，学习革命先辈的崇高精神和政治品质，牢记“两个务必”，真心诚意做好群众工作。</w:t>
      </w:r>
    </w:p>
    <w:p>
      <w:pPr>
        <w:pStyle w:val="23"/>
        <w:keepNext w:val="0"/>
        <w:keepLines w:val="0"/>
        <w:pageBreakBefore w:val="0"/>
        <w:widowControl/>
        <w:kinsoku/>
        <w:wordWrap/>
        <w:overflowPunct/>
        <w:topLinePunct w:val="0"/>
        <w:bidi w:val="0"/>
        <w:snapToGrid/>
        <w:ind w:left="0" w:leftChars="0" w:firstLine="560" w:firstLineChars="200"/>
        <w:jc w:val="left"/>
        <w:textAlignment w:val="auto"/>
      </w:pPr>
      <w:r>
        <w:rPr>
          <w:rFonts w:ascii="Times New Roman" w:hAnsi="Times New Roman" w:eastAsia="方正仿宋_GBK" w:cs="Times New Roman"/>
          <w:color w:val="000000"/>
          <w:sz w:val="28"/>
        </w:rPr>
        <w:t>（二）分项绩效目标</w:t>
      </w:r>
    </w:p>
    <w:p>
      <w:pPr>
        <w:pStyle w:val="24"/>
        <w:keepNext w:val="0"/>
        <w:keepLines w:val="0"/>
        <w:pageBreakBefore w:val="0"/>
        <w:widowControl/>
        <w:kinsoku/>
        <w:wordWrap/>
        <w:overflowPunct/>
        <w:topLinePunct w:val="0"/>
        <w:bidi w:val="0"/>
        <w:snapToGrid/>
        <w:ind w:firstLine="560" w:firstLineChars="200"/>
        <w:jc w:val="left"/>
        <w:textAlignment w:val="auto"/>
      </w:pPr>
      <w:r>
        <w:t>分项绩效目标</w:t>
      </w:r>
    </w:p>
    <w:p>
      <w:pPr>
        <w:pStyle w:val="24"/>
        <w:keepNext w:val="0"/>
        <w:keepLines w:val="0"/>
        <w:pageBreakBefore w:val="0"/>
        <w:widowControl/>
        <w:kinsoku/>
        <w:wordWrap/>
        <w:overflowPunct/>
        <w:topLinePunct w:val="0"/>
        <w:bidi w:val="0"/>
        <w:snapToGrid/>
        <w:ind w:firstLine="560" w:firstLineChars="200"/>
        <w:jc w:val="left"/>
        <w:textAlignment w:val="auto"/>
      </w:pPr>
      <w:r>
        <w:t>(一)</w:t>
      </w:r>
      <w:r>
        <w:tab/>
      </w:r>
      <w:r>
        <w:t>执行好办案问责</w:t>
      </w:r>
    </w:p>
    <w:p>
      <w:pPr>
        <w:pStyle w:val="24"/>
        <w:keepNext w:val="0"/>
        <w:keepLines w:val="0"/>
        <w:pageBreakBefore w:val="0"/>
        <w:widowControl/>
        <w:kinsoku/>
        <w:wordWrap/>
        <w:overflowPunct/>
        <w:topLinePunct w:val="0"/>
        <w:bidi w:val="0"/>
        <w:snapToGrid/>
        <w:ind w:firstLine="560" w:firstLineChars="200"/>
        <w:jc w:val="left"/>
        <w:textAlignment w:val="auto"/>
      </w:pPr>
      <w:r>
        <w:t>绩效目标：维护党纪国法尊严，坚决惩处腐败分子，有效遏制腐败现象。</w:t>
      </w:r>
    </w:p>
    <w:p>
      <w:pPr>
        <w:pStyle w:val="24"/>
        <w:keepNext w:val="0"/>
        <w:keepLines w:val="0"/>
        <w:pageBreakBefore w:val="0"/>
        <w:widowControl/>
        <w:kinsoku/>
        <w:wordWrap/>
        <w:overflowPunct/>
        <w:topLinePunct w:val="0"/>
        <w:bidi w:val="0"/>
        <w:snapToGrid/>
        <w:ind w:firstLine="560" w:firstLineChars="200"/>
        <w:jc w:val="left"/>
        <w:textAlignment w:val="auto"/>
      </w:pPr>
      <w:r>
        <w:t>绩效指标：受理信访、举报，集中管理问题线索、组织协调案件查办，调查、审查违纪违法案件，对案件审理提出处理意见达到95%以上。</w:t>
      </w:r>
    </w:p>
    <w:p>
      <w:pPr>
        <w:pStyle w:val="24"/>
        <w:keepNext w:val="0"/>
        <w:keepLines w:val="0"/>
        <w:pageBreakBefore w:val="0"/>
        <w:widowControl/>
        <w:kinsoku/>
        <w:wordWrap/>
        <w:overflowPunct/>
        <w:topLinePunct w:val="0"/>
        <w:bidi w:val="0"/>
        <w:snapToGrid/>
        <w:ind w:firstLine="560" w:firstLineChars="200"/>
        <w:jc w:val="left"/>
        <w:textAlignment w:val="auto"/>
      </w:pPr>
      <w:r>
        <w:t>（二）加强党风廉政建设</w:t>
      </w:r>
    </w:p>
    <w:p>
      <w:pPr>
        <w:pStyle w:val="24"/>
        <w:keepNext w:val="0"/>
        <w:keepLines w:val="0"/>
        <w:pageBreakBefore w:val="0"/>
        <w:widowControl/>
        <w:kinsoku/>
        <w:wordWrap/>
        <w:overflowPunct/>
        <w:topLinePunct w:val="0"/>
        <w:bidi w:val="0"/>
        <w:snapToGrid/>
        <w:ind w:firstLine="560" w:firstLineChars="200"/>
        <w:jc w:val="left"/>
        <w:textAlignment w:val="auto"/>
      </w:pPr>
      <w:r>
        <w:t>绩效目标：积极发挥职能作用，加强党风廉政建设，营造风清气正、干事创业的工作氛围。</w:t>
      </w:r>
    </w:p>
    <w:p>
      <w:pPr>
        <w:pStyle w:val="24"/>
        <w:keepNext w:val="0"/>
        <w:keepLines w:val="0"/>
        <w:pageBreakBefore w:val="0"/>
        <w:widowControl/>
        <w:kinsoku/>
        <w:wordWrap/>
        <w:overflowPunct/>
        <w:topLinePunct w:val="0"/>
        <w:bidi w:val="0"/>
        <w:snapToGrid/>
        <w:ind w:firstLine="560" w:firstLineChars="200"/>
        <w:jc w:val="left"/>
        <w:textAlignment w:val="auto"/>
      </w:pPr>
      <w:r>
        <w:t>绩效指标：组织协调全区党风廉政建设和反腐败宣传、教育、课题研究及规定、制度的起草修订；承担区委惩治和预防腐败体系领导小组办公室的日常工作，每月开展至少一次宣传教育活动，活动参与率达到85%以上。</w:t>
      </w:r>
    </w:p>
    <w:p>
      <w:pPr>
        <w:pStyle w:val="24"/>
        <w:keepNext w:val="0"/>
        <w:keepLines w:val="0"/>
        <w:pageBreakBefore w:val="0"/>
        <w:widowControl/>
        <w:kinsoku/>
        <w:wordWrap/>
        <w:overflowPunct/>
        <w:topLinePunct w:val="0"/>
        <w:bidi w:val="0"/>
        <w:snapToGrid/>
        <w:ind w:firstLine="560" w:firstLineChars="200"/>
        <w:jc w:val="left"/>
        <w:textAlignment w:val="auto"/>
      </w:pPr>
      <w:r>
        <w:t>（三）加强监督检查的力度</w:t>
      </w:r>
    </w:p>
    <w:p>
      <w:pPr>
        <w:pStyle w:val="24"/>
        <w:keepNext w:val="0"/>
        <w:keepLines w:val="0"/>
        <w:pageBreakBefore w:val="0"/>
        <w:widowControl/>
        <w:kinsoku/>
        <w:wordWrap/>
        <w:overflowPunct/>
        <w:topLinePunct w:val="0"/>
        <w:bidi w:val="0"/>
        <w:snapToGrid/>
        <w:ind w:firstLine="560" w:firstLineChars="200"/>
        <w:jc w:val="left"/>
        <w:textAlignment w:val="auto"/>
      </w:pPr>
      <w:r>
        <w:t>绩效目标：加大问责力度，促进“两个责任”有效落实；坚决纠正“四风”问题；监督常态化、全覆盖。</w:t>
      </w:r>
    </w:p>
    <w:p>
      <w:pPr>
        <w:pStyle w:val="24"/>
        <w:keepNext w:val="0"/>
        <w:keepLines w:val="0"/>
        <w:pageBreakBefore w:val="0"/>
        <w:widowControl/>
        <w:kinsoku/>
        <w:wordWrap/>
        <w:overflowPunct/>
        <w:topLinePunct w:val="0"/>
        <w:bidi w:val="0"/>
        <w:snapToGrid/>
        <w:ind w:firstLine="560" w:firstLineChars="200"/>
        <w:jc w:val="left"/>
        <w:textAlignment w:val="auto"/>
      </w:pPr>
      <w:r>
        <w:t>绩效指标：监督检查党内法规政策、国家法律法规、党风廉政建设“两个责任”等落实执行情况达到90%以上，履行区政府纠正行业不正之风办公室职能。</w:t>
      </w:r>
    </w:p>
    <w:p>
      <w:pPr>
        <w:pStyle w:val="24"/>
        <w:keepNext w:val="0"/>
        <w:keepLines w:val="0"/>
        <w:pageBreakBefore w:val="0"/>
        <w:widowControl/>
        <w:kinsoku/>
        <w:wordWrap/>
        <w:overflowPunct/>
        <w:topLinePunct w:val="0"/>
        <w:bidi w:val="0"/>
        <w:snapToGrid/>
        <w:ind w:firstLine="560" w:firstLineChars="200"/>
        <w:jc w:val="left"/>
        <w:textAlignment w:val="auto"/>
      </w:pPr>
      <w:r>
        <w:t>开展专项治理活动</w:t>
      </w:r>
    </w:p>
    <w:p>
      <w:pPr>
        <w:pStyle w:val="24"/>
        <w:keepNext w:val="0"/>
        <w:keepLines w:val="0"/>
        <w:pageBreakBefore w:val="0"/>
        <w:widowControl/>
        <w:kinsoku/>
        <w:wordWrap/>
        <w:overflowPunct/>
        <w:topLinePunct w:val="0"/>
        <w:bidi w:val="0"/>
        <w:snapToGrid/>
        <w:ind w:firstLine="560" w:firstLineChars="200"/>
        <w:jc w:val="left"/>
        <w:textAlignment w:val="auto"/>
      </w:pPr>
      <w:r>
        <w:t>绩效目标：积极依法介入群体性事件，化解矛盾，维护稳定，努力为我区经济发展创造良好法治环境，为促进和谐社会构建发挥积极作用。</w:t>
      </w:r>
    </w:p>
    <w:p>
      <w:pPr>
        <w:pStyle w:val="24"/>
        <w:keepNext w:val="0"/>
        <w:keepLines w:val="0"/>
        <w:pageBreakBefore w:val="0"/>
        <w:widowControl/>
        <w:kinsoku/>
        <w:wordWrap/>
        <w:overflowPunct/>
        <w:topLinePunct w:val="0"/>
        <w:bidi w:val="0"/>
        <w:snapToGrid/>
        <w:ind w:firstLine="560" w:firstLineChars="200"/>
        <w:jc w:val="left"/>
        <w:textAlignment w:val="auto"/>
      </w:pPr>
      <w:r>
        <w:t>绩效指标：重点开展“预防职务犯罪，促进安全监管，减少伤亡事故”专项治理活动，深入各单位，向各单位工作人员普及相关法治内容，每月各单位至少开展一次教育会，会议参与率达到90%以上。</w:t>
      </w:r>
    </w:p>
    <w:p>
      <w:pPr>
        <w:keepNext w:val="0"/>
        <w:keepLines w:val="0"/>
        <w:pageBreakBefore w:val="0"/>
        <w:widowControl/>
        <w:kinsoku/>
        <w:wordWrap/>
        <w:overflowPunct/>
        <w:topLinePunct w:val="0"/>
        <w:bidi w:val="0"/>
        <w:snapToGrid/>
        <w:spacing w:before="0" w:after="0" w:line="500" w:lineRule="exact"/>
        <w:ind w:firstLine="560" w:firstLineChars="200"/>
        <w:jc w:val="left"/>
        <w:textAlignment w:val="auto"/>
        <w:outlineLvl w:val="9"/>
      </w:pPr>
      <w:r>
        <w:rPr>
          <w:rFonts w:ascii="Times New Roman" w:hAnsi="Times New Roman" w:eastAsia="方正仿宋_GBK" w:cs="Times New Roman"/>
          <w:color w:val="000000"/>
          <w:sz w:val="28"/>
        </w:rPr>
        <w:t>（三）工作保障措施</w:t>
      </w:r>
    </w:p>
    <w:p>
      <w:pPr>
        <w:pStyle w:val="25"/>
        <w:keepNext w:val="0"/>
        <w:keepLines w:val="0"/>
        <w:pageBreakBefore w:val="0"/>
        <w:widowControl/>
        <w:kinsoku/>
        <w:wordWrap/>
        <w:overflowPunct/>
        <w:topLinePunct w:val="0"/>
        <w:bidi w:val="0"/>
        <w:snapToGrid/>
        <w:ind w:firstLine="560" w:firstLineChars="200"/>
        <w:jc w:val="left"/>
        <w:textAlignment w:val="auto"/>
      </w:pPr>
      <w:r>
        <w:t>工作保障措施</w:t>
      </w:r>
    </w:p>
    <w:p>
      <w:pPr>
        <w:pStyle w:val="25"/>
        <w:keepNext w:val="0"/>
        <w:keepLines w:val="0"/>
        <w:pageBreakBefore w:val="0"/>
        <w:widowControl/>
        <w:kinsoku/>
        <w:wordWrap/>
        <w:overflowPunct/>
        <w:topLinePunct w:val="0"/>
        <w:bidi w:val="0"/>
        <w:snapToGrid/>
        <w:ind w:firstLine="560" w:firstLineChars="200"/>
        <w:jc w:val="left"/>
        <w:textAlignment w:val="auto"/>
      </w:pPr>
      <w:r>
        <w:t>（一）健全各项制度，促进纪委工作规范化、程序化。我单位围绕预算绩效管理制度、资金管理办法、工作保障制度，着重抓好两方面的工作：一是健全各项规章制度，主要规范执行好我单位的监督检查制度， 让监督摆在明面上，让监督透明化。二是加强财务管理。通过优化支出结构、编细编实预算、加快履行政府采购手续、及时支付资金、按规定及时下达资金等多种措施，确保支出进度达标。加强固定资产登记、使用和报废处置管理，做到支出合理，物尽其用。严格执行财务报销制度，使财务管理更加规范化、程序化。</w:t>
      </w:r>
    </w:p>
    <w:p>
      <w:pPr>
        <w:pStyle w:val="25"/>
        <w:keepNext w:val="0"/>
        <w:keepLines w:val="0"/>
        <w:pageBreakBefore w:val="0"/>
        <w:widowControl/>
        <w:kinsoku/>
        <w:wordWrap/>
        <w:overflowPunct/>
        <w:topLinePunct w:val="0"/>
        <w:bidi w:val="0"/>
        <w:snapToGrid/>
        <w:ind w:firstLine="560" w:firstLineChars="200"/>
        <w:jc w:val="left"/>
        <w:textAlignment w:val="auto"/>
      </w:pPr>
      <w:r>
        <w:t>(二)推动开展廉政教育</w:t>
      </w:r>
    </w:p>
    <w:p>
      <w:pPr>
        <w:pStyle w:val="25"/>
        <w:keepNext w:val="0"/>
        <w:keepLines w:val="0"/>
        <w:pageBreakBefore w:val="0"/>
        <w:widowControl/>
        <w:kinsoku/>
        <w:wordWrap/>
        <w:overflowPunct/>
        <w:topLinePunct w:val="0"/>
        <w:bidi w:val="0"/>
        <w:snapToGrid/>
        <w:ind w:firstLine="560" w:firstLineChars="200"/>
        <w:jc w:val="left"/>
        <w:textAlignment w:val="auto"/>
      </w:pPr>
      <w:r>
        <w:t>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keepNext w:val="0"/>
        <w:keepLines w:val="0"/>
        <w:pageBreakBefore w:val="0"/>
        <w:widowControl/>
        <w:kinsoku/>
        <w:wordWrap/>
        <w:overflowPunct/>
        <w:topLinePunct w:val="0"/>
        <w:bidi w:val="0"/>
        <w:snapToGrid/>
        <w:ind w:firstLine="560" w:firstLineChars="200"/>
        <w:jc w:val="left"/>
        <w:textAlignment w:val="auto"/>
      </w:pPr>
      <w:r>
        <w:t>加强宣传培训调研</w:t>
      </w:r>
    </w:p>
    <w:p>
      <w:pPr>
        <w:pStyle w:val="25"/>
        <w:keepNext w:val="0"/>
        <w:keepLines w:val="0"/>
        <w:pageBreakBefore w:val="0"/>
        <w:widowControl/>
        <w:kinsoku/>
        <w:wordWrap/>
        <w:overflowPunct/>
        <w:topLinePunct w:val="0"/>
        <w:bidi w:val="0"/>
        <w:snapToGrid/>
        <w:ind w:firstLine="560" w:firstLineChars="200"/>
        <w:jc w:val="left"/>
        <w:textAlignment w:val="auto"/>
      </w:pPr>
      <w:r>
        <w:t>加强人员培训，提高我单位职工业务素质；加大宣传力度，强化预算绩效管理意识，促进预算绩效管理水平进一步提升；根据干部管理权限，负责区直各单位机关纪检组织建设的综合规划、政策研究、制度建设和业务指导；会同区委组织部负责乡镇纪委干部的提名、考察，涉及科级干部的报区委任免；会同有关方面做好区纪委监委派出机构、乡镇纪委、区属学校、医院纪检监察机构领导班子建设有关工作。</w:t>
      </w:r>
    </w:p>
    <w:p>
      <w:pPr>
        <w:pStyle w:val="25"/>
      </w:pPr>
      <w:r>
        <w:t>　　　　</w:t>
      </w:r>
    </w:p>
    <w:p>
      <w:pPr>
        <w:pStyle w:val="26"/>
        <w:spacing w:before="0" w:after="0" w:line="240" w:lineRule="auto"/>
        <w:ind w:firstLine="640"/>
        <w:jc w:val="left"/>
        <w:outlineLvl w:val="9"/>
        <w:rPr>
          <w:rFonts w:ascii="方正楷体_GBK" w:hAnsi="方正楷体_GBK" w:eastAsia="方正楷体_GBK" w:cs="方正楷体_GBK"/>
          <w:b/>
          <w:color w:val="000000"/>
          <w:sz w:val="32"/>
        </w:rPr>
      </w:pPr>
    </w:p>
    <w:p>
      <w:pPr>
        <w:pStyle w:val="26"/>
        <w:spacing w:before="0" w:after="0" w:line="240" w:lineRule="auto"/>
        <w:ind w:firstLine="640"/>
        <w:jc w:val="left"/>
        <w:outlineLvl w:val="9"/>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pStyle w:val="26"/>
        <w:spacing w:before="0" w:after="0"/>
        <w:ind w:firstLine="560"/>
        <w:jc w:val="left"/>
        <w:outlineLvl w:val="9"/>
      </w:pPr>
      <w:r>
        <w:rPr>
          <w:rFonts w:ascii="方正仿宋_GBK" w:hAnsi="方正仿宋_GBK" w:eastAsia="方正仿宋_GBK" w:cs="方正仿宋_GBK"/>
          <w:b/>
          <w:color w:val="000000"/>
          <w:sz w:val="28"/>
        </w:rPr>
        <w:t>1、办案专项经费绩效目标表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1.目标内容11.保障办案工作的正常进行。</w:t>
            </w:r>
          </w:p>
          <w:p>
            <w:pPr>
              <w:pStyle w:val="28"/>
            </w:pPr>
            <w:r>
              <w:t>2.提高办案的质量和效率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专项案件的结案率</w:t>
            </w:r>
          </w:p>
        </w:tc>
        <w:tc>
          <w:tcPr>
            <w:tcW w:w="2466" w:type="dxa"/>
            <w:vAlign w:val="center"/>
          </w:tcPr>
          <w:p>
            <w:pPr>
              <w:pStyle w:val="28"/>
            </w:pPr>
            <w:r>
              <w:t>接受的案件的完成率</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案件完成的质量</w:t>
            </w:r>
          </w:p>
        </w:tc>
        <w:tc>
          <w:tcPr>
            <w:tcW w:w="2466" w:type="dxa"/>
            <w:vAlign w:val="center"/>
          </w:tcPr>
          <w:p>
            <w:pPr>
              <w:pStyle w:val="28"/>
            </w:pPr>
            <w:r>
              <w:t>提高案件办理的质量和效率</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案件完成的及时率</w:t>
            </w:r>
          </w:p>
        </w:tc>
        <w:tc>
          <w:tcPr>
            <w:tcW w:w="2466" w:type="dxa"/>
            <w:vAlign w:val="center"/>
          </w:tcPr>
          <w:p>
            <w:pPr>
              <w:pStyle w:val="28"/>
            </w:pPr>
            <w:r>
              <w:t>在规定的时限内完成案件办理</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保证办案的同时，降低办案费</w:t>
            </w:r>
          </w:p>
        </w:tc>
        <w:tc>
          <w:tcPr>
            <w:tcW w:w="2466" w:type="dxa"/>
            <w:vAlign w:val="center"/>
          </w:tcPr>
          <w:p>
            <w:pPr>
              <w:pStyle w:val="28"/>
            </w:pPr>
            <w:r>
              <w:t>节约办公成本</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处置案件的震慑作用</w:t>
            </w:r>
          </w:p>
        </w:tc>
        <w:tc>
          <w:tcPr>
            <w:tcW w:w="2466" w:type="dxa"/>
            <w:vAlign w:val="center"/>
          </w:tcPr>
          <w:p>
            <w:pPr>
              <w:pStyle w:val="28"/>
            </w:pPr>
            <w:r>
              <w:t>达到处置一案，警示一片</w:t>
            </w:r>
          </w:p>
        </w:tc>
        <w:tc>
          <w:tcPr>
            <w:tcW w:w="2466" w:type="dxa"/>
            <w:vAlign w:val="center"/>
          </w:tcPr>
          <w:p>
            <w:pPr>
              <w:pStyle w:val="28"/>
            </w:pPr>
            <w:r>
              <w:t>达到处置一案，警示一片</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请示</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2、大要案专项工作经费绩效目标表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1.保障大要案工作的正常进行。</w:t>
            </w:r>
          </w:p>
          <w:p>
            <w:pPr>
              <w:pStyle w:val="28"/>
            </w:pPr>
            <w:r>
              <w:t>2.提高办案的质量和效率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大案要案查处率</w:t>
            </w:r>
          </w:p>
        </w:tc>
        <w:tc>
          <w:tcPr>
            <w:tcW w:w="2466" w:type="dxa"/>
            <w:vAlign w:val="center"/>
          </w:tcPr>
          <w:p>
            <w:pPr>
              <w:pStyle w:val="28"/>
            </w:pPr>
            <w:r>
              <w:t>接受的案件的完成率</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案件完成的质量</w:t>
            </w:r>
          </w:p>
        </w:tc>
        <w:tc>
          <w:tcPr>
            <w:tcW w:w="2466" w:type="dxa"/>
            <w:vAlign w:val="center"/>
          </w:tcPr>
          <w:p>
            <w:pPr>
              <w:pStyle w:val="28"/>
            </w:pPr>
            <w:r>
              <w:t>提高案件办理的质量和效率</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案件完成的及时率</w:t>
            </w:r>
          </w:p>
        </w:tc>
        <w:tc>
          <w:tcPr>
            <w:tcW w:w="2466" w:type="dxa"/>
            <w:vAlign w:val="center"/>
          </w:tcPr>
          <w:p>
            <w:pPr>
              <w:pStyle w:val="28"/>
            </w:pPr>
            <w:r>
              <w:t>在规定的时限内完成案件办理</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保证办案的同时，降低办案费</w:t>
            </w:r>
          </w:p>
        </w:tc>
        <w:tc>
          <w:tcPr>
            <w:tcW w:w="2466" w:type="dxa"/>
            <w:vAlign w:val="center"/>
          </w:tcPr>
          <w:p>
            <w:pPr>
              <w:pStyle w:val="28"/>
            </w:pPr>
            <w:r>
              <w:t>节约办公成本</w:t>
            </w:r>
          </w:p>
        </w:tc>
        <w:tc>
          <w:tcPr>
            <w:tcW w:w="2466" w:type="dxa"/>
            <w:vAlign w:val="center"/>
          </w:tcPr>
          <w:p>
            <w:pPr>
              <w:pStyle w:val="28"/>
            </w:pPr>
            <w:r>
              <w:t>节约办公成本</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处置案件的震慑作用</w:t>
            </w:r>
          </w:p>
        </w:tc>
        <w:tc>
          <w:tcPr>
            <w:tcW w:w="2466" w:type="dxa"/>
            <w:vAlign w:val="center"/>
          </w:tcPr>
          <w:p>
            <w:pPr>
              <w:pStyle w:val="28"/>
            </w:pPr>
            <w:r>
              <w:t>处置一案，警示一片</w:t>
            </w:r>
          </w:p>
        </w:tc>
        <w:tc>
          <w:tcPr>
            <w:tcW w:w="2466" w:type="dxa"/>
            <w:vAlign w:val="center"/>
          </w:tcPr>
          <w:p>
            <w:pPr>
              <w:pStyle w:val="28"/>
            </w:pPr>
            <w:r>
              <w:t>处置一案，警示一片</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上级安排申请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3、机关服务物业管理经费绩效目标表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1.目标内容1.保障办公场所的安全和卫生。</w:t>
            </w:r>
          </w:p>
          <w:p>
            <w:pPr>
              <w:pStyle w:val="28"/>
            </w:pPr>
            <w:r>
              <w:t>2.提高机关人员的工作热情。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服务机关办公面积</w:t>
            </w:r>
          </w:p>
        </w:tc>
        <w:tc>
          <w:tcPr>
            <w:tcW w:w="2466" w:type="dxa"/>
            <w:vAlign w:val="center"/>
          </w:tcPr>
          <w:p>
            <w:pPr>
              <w:pStyle w:val="28"/>
            </w:pPr>
            <w:r>
              <w:t>保障所有人员有一个安全、干净、舒适的工作环境</w:t>
            </w:r>
          </w:p>
        </w:tc>
        <w:tc>
          <w:tcPr>
            <w:tcW w:w="2466" w:type="dxa"/>
            <w:vAlign w:val="center"/>
          </w:tcPr>
          <w:p>
            <w:pPr>
              <w:pStyle w:val="28"/>
            </w:pPr>
            <w:r>
              <w:t>3600平方米</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提升单位的安全系数和环境卫生</w:t>
            </w:r>
          </w:p>
        </w:tc>
        <w:tc>
          <w:tcPr>
            <w:tcW w:w="2466" w:type="dxa"/>
            <w:vAlign w:val="center"/>
          </w:tcPr>
          <w:p>
            <w:pPr>
              <w:pStyle w:val="28"/>
            </w:pPr>
            <w:r>
              <w:t>在舒适的办公环境下，提高工作效率</w:t>
            </w:r>
          </w:p>
        </w:tc>
        <w:tc>
          <w:tcPr>
            <w:tcW w:w="2466" w:type="dxa"/>
            <w:vAlign w:val="center"/>
          </w:tcPr>
          <w:p>
            <w:pPr>
              <w:pStyle w:val="28"/>
            </w:pPr>
            <w:r>
              <w:t>在舒适的办公环境下，提高工作效率</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相应服务及时到位</w:t>
            </w:r>
          </w:p>
        </w:tc>
        <w:tc>
          <w:tcPr>
            <w:tcW w:w="2466" w:type="dxa"/>
            <w:vAlign w:val="center"/>
          </w:tcPr>
          <w:p>
            <w:pPr>
              <w:pStyle w:val="28"/>
            </w:pPr>
            <w:r>
              <w:t>安保、保洁、修缮等服务按时到位</w:t>
            </w:r>
          </w:p>
        </w:tc>
        <w:tc>
          <w:tcPr>
            <w:tcW w:w="2466" w:type="dxa"/>
            <w:vAlign w:val="center"/>
          </w:tcPr>
          <w:p>
            <w:pPr>
              <w:pStyle w:val="28"/>
            </w:pPr>
            <w:r>
              <w:t>≥90%</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保证质量的前提下，降低费用</w:t>
            </w:r>
          </w:p>
        </w:tc>
        <w:tc>
          <w:tcPr>
            <w:tcW w:w="2466" w:type="dxa"/>
            <w:vAlign w:val="center"/>
          </w:tcPr>
          <w:p>
            <w:pPr>
              <w:pStyle w:val="28"/>
            </w:pPr>
            <w:r>
              <w:t>选择物美价廉的安保、保洁公司合作</w:t>
            </w:r>
          </w:p>
        </w:tc>
        <w:tc>
          <w:tcPr>
            <w:tcW w:w="2466" w:type="dxa"/>
            <w:vAlign w:val="center"/>
          </w:tcPr>
          <w:p>
            <w:pPr>
              <w:pStyle w:val="28"/>
            </w:pPr>
            <w:r>
              <w:t>选择物美价廉的安保、保洁公司合作</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提升机关单位的形象，保证机关正常运转</w:t>
            </w:r>
          </w:p>
        </w:tc>
        <w:tc>
          <w:tcPr>
            <w:tcW w:w="2466" w:type="dxa"/>
            <w:vAlign w:val="center"/>
          </w:tcPr>
          <w:p>
            <w:pPr>
              <w:pStyle w:val="28"/>
            </w:pPr>
            <w:r>
              <w:t>≥90%</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群众满意度</w:t>
            </w:r>
          </w:p>
        </w:tc>
        <w:tc>
          <w:tcPr>
            <w:tcW w:w="2466" w:type="dxa"/>
            <w:vAlign w:val="center"/>
          </w:tcPr>
          <w:p>
            <w:pPr>
              <w:pStyle w:val="28"/>
            </w:pPr>
            <w:r>
              <w:t>群众满意数量占总数的比例。</w:t>
            </w:r>
          </w:p>
        </w:tc>
        <w:tc>
          <w:tcPr>
            <w:tcW w:w="2466" w:type="dxa"/>
            <w:vAlign w:val="center"/>
          </w:tcPr>
          <w:p>
            <w:pPr>
              <w:pStyle w:val="28"/>
            </w:pPr>
            <w:r>
              <w:t>≥90%</w:t>
            </w:r>
          </w:p>
        </w:tc>
        <w:tc>
          <w:tcPr>
            <w:tcW w:w="2466" w:type="dxa"/>
            <w:vAlign w:val="center"/>
          </w:tcPr>
          <w:p>
            <w:pPr>
              <w:pStyle w:val="28"/>
            </w:pPr>
            <w:r>
              <w:t>安保协议、保洁协议、机关正常运行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4、监察委办公场所水电费绩效目标表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1.目标内容1.按预算进度合理支出资金</w:t>
            </w:r>
          </w:p>
          <w:p>
            <w:pPr>
              <w:pStyle w:val="28"/>
            </w:pPr>
            <w:r>
              <w:t>2.保障日常工作正常进行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办公楼的水电费</w:t>
            </w:r>
          </w:p>
        </w:tc>
        <w:tc>
          <w:tcPr>
            <w:tcW w:w="2466" w:type="dxa"/>
            <w:vAlign w:val="center"/>
          </w:tcPr>
          <w:p>
            <w:pPr>
              <w:pStyle w:val="28"/>
            </w:pPr>
            <w:r>
              <w:t>主要保障办公楼面积约3600平方米的中央空调的运转</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提高能源利用率</w:t>
            </w:r>
          </w:p>
        </w:tc>
        <w:tc>
          <w:tcPr>
            <w:tcW w:w="2466" w:type="dxa"/>
            <w:vAlign w:val="center"/>
          </w:tcPr>
          <w:p>
            <w:pPr>
              <w:pStyle w:val="28"/>
            </w:pPr>
            <w:r>
              <w:t>满足水电及网络电话正常使用率</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实现的及时率</w:t>
            </w:r>
          </w:p>
        </w:tc>
        <w:tc>
          <w:tcPr>
            <w:tcW w:w="2466" w:type="dxa"/>
            <w:vAlign w:val="center"/>
          </w:tcPr>
          <w:p>
            <w:pPr>
              <w:pStyle w:val="28"/>
            </w:pPr>
            <w:r>
              <w:t>水电网络、电话保障及时率</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降低能源成本</w:t>
            </w:r>
          </w:p>
        </w:tc>
        <w:tc>
          <w:tcPr>
            <w:tcW w:w="2466" w:type="dxa"/>
            <w:vAlign w:val="center"/>
          </w:tcPr>
          <w:p>
            <w:pPr>
              <w:pStyle w:val="28"/>
            </w:pPr>
            <w:r>
              <w:t>在保障舒适的办公环境基础上，降低电费的支出</w:t>
            </w:r>
          </w:p>
        </w:tc>
        <w:tc>
          <w:tcPr>
            <w:tcW w:w="2466" w:type="dxa"/>
            <w:vAlign w:val="center"/>
          </w:tcPr>
          <w:p>
            <w:pPr>
              <w:pStyle w:val="28"/>
            </w:pPr>
            <w:r>
              <w:t>在保障舒适的办公环境基础上，降低电费的支出</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节约能源</w:t>
            </w:r>
          </w:p>
        </w:tc>
        <w:tc>
          <w:tcPr>
            <w:tcW w:w="2466" w:type="dxa"/>
            <w:vAlign w:val="center"/>
          </w:tcPr>
          <w:p>
            <w:pPr>
              <w:pStyle w:val="28"/>
            </w:pPr>
            <w:r>
              <w:t>降低人均用能量</w:t>
            </w:r>
          </w:p>
        </w:tc>
        <w:tc>
          <w:tcPr>
            <w:tcW w:w="2466" w:type="dxa"/>
            <w:vAlign w:val="center"/>
          </w:tcPr>
          <w:p>
            <w:pPr>
              <w:pStyle w:val="28"/>
            </w:pPr>
            <w:r>
              <w:t>降低人均用能量</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申请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5、监察委办公场所租赁费绩效目标表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1.1、改善办公环境</w:t>
            </w:r>
          </w:p>
          <w:p>
            <w:pPr>
              <w:pStyle w:val="28"/>
            </w:pPr>
            <w:r>
              <w:t>2.提高工作效率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房屋租赁面积</w:t>
            </w:r>
          </w:p>
        </w:tc>
        <w:tc>
          <w:tcPr>
            <w:tcW w:w="2466" w:type="dxa"/>
            <w:vAlign w:val="center"/>
          </w:tcPr>
          <w:p>
            <w:pPr>
              <w:pStyle w:val="28"/>
            </w:pPr>
            <w:r>
              <w:t>租金建筑面积</w:t>
            </w:r>
          </w:p>
        </w:tc>
        <w:tc>
          <w:tcPr>
            <w:tcW w:w="2466" w:type="dxa"/>
            <w:vAlign w:val="center"/>
          </w:tcPr>
          <w:p>
            <w:pPr>
              <w:pStyle w:val="28"/>
            </w:pPr>
            <w:r>
              <w:t>3600平</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办公人员的工作质量</w:t>
            </w:r>
          </w:p>
        </w:tc>
        <w:tc>
          <w:tcPr>
            <w:tcW w:w="2466" w:type="dxa"/>
            <w:vAlign w:val="center"/>
          </w:tcPr>
          <w:p>
            <w:pPr>
              <w:pStyle w:val="28"/>
            </w:pPr>
            <w:r>
              <w:t>满足日常办公及办案要求，提高工作效率</w:t>
            </w:r>
          </w:p>
        </w:tc>
        <w:tc>
          <w:tcPr>
            <w:tcW w:w="2466" w:type="dxa"/>
            <w:vAlign w:val="center"/>
          </w:tcPr>
          <w:p>
            <w:pPr>
              <w:pStyle w:val="28"/>
            </w:pPr>
            <w:r>
              <w:t>≥90%</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资金支付及时率</w:t>
            </w:r>
          </w:p>
        </w:tc>
        <w:tc>
          <w:tcPr>
            <w:tcW w:w="2466" w:type="dxa"/>
            <w:vAlign w:val="center"/>
          </w:tcPr>
          <w:p>
            <w:pPr>
              <w:pStyle w:val="28"/>
            </w:pPr>
            <w:r>
              <w:t>按时支付租金费</w:t>
            </w:r>
          </w:p>
        </w:tc>
        <w:tc>
          <w:tcPr>
            <w:tcW w:w="2466" w:type="dxa"/>
            <w:vAlign w:val="center"/>
          </w:tcPr>
          <w:p>
            <w:pPr>
              <w:pStyle w:val="28"/>
            </w:pPr>
            <w:r>
              <w:t>≥90%</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年租赁费</w:t>
            </w:r>
          </w:p>
        </w:tc>
        <w:tc>
          <w:tcPr>
            <w:tcW w:w="2466" w:type="dxa"/>
            <w:vAlign w:val="center"/>
          </w:tcPr>
          <w:p>
            <w:pPr>
              <w:pStyle w:val="28"/>
            </w:pPr>
            <w:r>
              <w:t>年租赁费</w:t>
            </w:r>
          </w:p>
        </w:tc>
        <w:tc>
          <w:tcPr>
            <w:tcW w:w="2466" w:type="dxa"/>
            <w:vAlign w:val="center"/>
          </w:tcPr>
          <w:p>
            <w:pPr>
              <w:pStyle w:val="28"/>
            </w:pPr>
            <w:r>
              <w:t>年租赁费</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社会影响力</w:t>
            </w:r>
          </w:p>
        </w:tc>
        <w:tc>
          <w:tcPr>
            <w:tcW w:w="2466" w:type="dxa"/>
            <w:vAlign w:val="center"/>
          </w:tcPr>
          <w:p>
            <w:pPr>
              <w:pStyle w:val="28"/>
            </w:pPr>
            <w:r>
              <w:t>提高办公及办案效率</w:t>
            </w:r>
          </w:p>
        </w:tc>
        <w:tc>
          <w:tcPr>
            <w:tcW w:w="2466" w:type="dxa"/>
            <w:vAlign w:val="center"/>
          </w:tcPr>
          <w:p>
            <w:pPr>
              <w:pStyle w:val="28"/>
            </w:pPr>
            <w:r>
              <w:t>提高办公及办案效率</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租赁合同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6、乡镇纪委办案经费绩效目标表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1.目标内容1保障乡镇纪委工作的正常进行。健全乡镇纪委组织建设。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藁城区14个乡镇纪全全覆盖</w:t>
            </w:r>
          </w:p>
        </w:tc>
        <w:tc>
          <w:tcPr>
            <w:tcW w:w="2466" w:type="dxa"/>
            <w:vAlign w:val="center"/>
          </w:tcPr>
          <w:p>
            <w:pPr>
              <w:pStyle w:val="28"/>
            </w:pPr>
            <w:r>
              <w:t>经费覆盖全区乡镇数</w:t>
            </w:r>
          </w:p>
        </w:tc>
        <w:tc>
          <w:tcPr>
            <w:tcW w:w="2466" w:type="dxa"/>
            <w:vAlign w:val="center"/>
          </w:tcPr>
          <w:p>
            <w:pPr>
              <w:pStyle w:val="28"/>
            </w:pPr>
            <w:r>
              <w:t>13个</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加强乡镇纪委组织建设</w:t>
            </w:r>
          </w:p>
        </w:tc>
        <w:tc>
          <w:tcPr>
            <w:tcW w:w="2466" w:type="dxa"/>
            <w:vAlign w:val="center"/>
          </w:tcPr>
          <w:p>
            <w:pPr>
              <w:pStyle w:val="28"/>
            </w:pPr>
            <w:r>
              <w:t>办案经费满足乡镇纪委人员办案工作，推动案件解决</w:t>
            </w:r>
          </w:p>
        </w:tc>
        <w:tc>
          <w:tcPr>
            <w:tcW w:w="2466" w:type="dxa"/>
            <w:vAlign w:val="center"/>
          </w:tcPr>
          <w:p>
            <w:pPr>
              <w:pStyle w:val="28"/>
            </w:pPr>
            <w:r>
              <w:t>办案经费满足乡镇纪委人员办案工作，推动案件解决</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提高乡镇纪委工作的时效性</w:t>
            </w:r>
          </w:p>
        </w:tc>
        <w:tc>
          <w:tcPr>
            <w:tcW w:w="2466" w:type="dxa"/>
            <w:vAlign w:val="center"/>
          </w:tcPr>
          <w:p>
            <w:pPr>
              <w:pStyle w:val="28"/>
            </w:pPr>
            <w:r>
              <w:t>办案经费及时发放率</w:t>
            </w:r>
          </w:p>
        </w:tc>
        <w:tc>
          <w:tcPr>
            <w:tcW w:w="2466" w:type="dxa"/>
            <w:vAlign w:val="center"/>
          </w:tcPr>
          <w:p>
            <w:pPr>
              <w:pStyle w:val="28"/>
            </w:pPr>
            <w:r>
              <w:t>≥90%</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成本控制</w:t>
            </w:r>
          </w:p>
        </w:tc>
        <w:tc>
          <w:tcPr>
            <w:tcW w:w="2466" w:type="dxa"/>
            <w:vAlign w:val="center"/>
          </w:tcPr>
          <w:p>
            <w:pPr>
              <w:pStyle w:val="28"/>
            </w:pPr>
            <w:r>
              <w:t>相关经费在满足办案的同时，力求节约，按标准执行</w:t>
            </w:r>
          </w:p>
        </w:tc>
        <w:tc>
          <w:tcPr>
            <w:tcW w:w="2466" w:type="dxa"/>
            <w:vAlign w:val="center"/>
          </w:tcPr>
          <w:p>
            <w:pPr>
              <w:pStyle w:val="28"/>
            </w:pPr>
            <w:r>
              <w:t>相关经费在满足办案的同时，力求节约，按标准执行</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通过专项经费，推动解决群众身边的问题</w:t>
            </w:r>
          </w:p>
        </w:tc>
        <w:tc>
          <w:tcPr>
            <w:tcW w:w="2466" w:type="dxa"/>
            <w:vAlign w:val="center"/>
          </w:tcPr>
          <w:p>
            <w:pPr>
              <w:pStyle w:val="28"/>
            </w:pPr>
            <w:r>
              <w:t>≥90%</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服务对象满意度指标</w:t>
            </w:r>
          </w:p>
        </w:tc>
        <w:tc>
          <w:tcPr>
            <w:tcW w:w="2466" w:type="dxa"/>
            <w:vAlign w:val="center"/>
          </w:tcPr>
          <w:p>
            <w:pPr>
              <w:pStyle w:val="28"/>
            </w:pPr>
            <w:r>
              <w:t>服务对象满意度指标</w:t>
            </w:r>
          </w:p>
        </w:tc>
        <w:tc>
          <w:tcPr>
            <w:tcW w:w="2466" w:type="dxa"/>
            <w:vAlign w:val="center"/>
          </w:tcPr>
          <w:p>
            <w:pPr>
              <w:pStyle w:val="28"/>
            </w:pPr>
            <w:r>
              <w:t>≥90%</w:t>
            </w:r>
          </w:p>
        </w:tc>
        <w:tc>
          <w:tcPr>
            <w:tcW w:w="2466" w:type="dxa"/>
            <w:vAlign w:val="center"/>
          </w:tcPr>
          <w:p>
            <w:pPr>
              <w:pStyle w:val="28"/>
            </w:pPr>
            <w:r>
              <w:t>藁纪【2018】9号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7、营商环境举报中心劳务派遣人员工资绩效目标表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1.目标内容1管好用好劳务派遣人员，提高劳务派遣人员工作能力和综合素质，顺利完成营商环境举报中心的各项工作任务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工资发放给劳务派遣人员足额率</w:t>
            </w:r>
          </w:p>
        </w:tc>
        <w:tc>
          <w:tcPr>
            <w:tcW w:w="2466" w:type="dxa"/>
            <w:vAlign w:val="center"/>
          </w:tcPr>
          <w:p>
            <w:pPr>
              <w:pStyle w:val="28"/>
            </w:pPr>
            <w:r>
              <w:t>工资发放给劳务派遣人员足额率</w:t>
            </w:r>
          </w:p>
        </w:tc>
        <w:tc>
          <w:tcPr>
            <w:tcW w:w="2466" w:type="dxa"/>
            <w:vAlign w:val="center"/>
          </w:tcPr>
          <w:p>
            <w:pPr>
              <w:pStyle w:val="28"/>
            </w:pPr>
            <w:r>
              <w:t>100%</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缴纳社保及时率</w:t>
            </w:r>
          </w:p>
        </w:tc>
        <w:tc>
          <w:tcPr>
            <w:tcW w:w="2466" w:type="dxa"/>
            <w:vAlign w:val="center"/>
          </w:tcPr>
          <w:p>
            <w:pPr>
              <w:pStyle w:val="28"/>
            </w:pPr>
            <w:r>
              <w:t>为创建办人员及时缴纳各项社保</w:t>
            </w:r>
          </w:p>
        </w:tc>
        <w:tc>
          <w:tcPr>
            <w:tcW w:w="2466" w:type="dxa"/>
            <w:vAlign w:val="center"/>
          </w:tcPr>
          <w:p>
            <w:pPr>
              <w:pStyle w:val="28"/>
            </w:pPr>
            <w:r>
              <w:t>≥90%</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工资发放及时率</w:t>
            </w:r>
          </w:p>
        </w:tc>
        <w:tc>
          <w:tcPr>
            <w:tcW w:w="2466" w:type="dxa"/>
            <w:vAlign w:val="center"/>
          </w:tcPr>
          <w:p>
            <w:pPr>
              <w:pStyle w:val="28"/>
            </w:pPr>
            <w:r>
              <w:t>工资发放及时率</w:t>
            </w:r>
          </w:p>
        </w:tc>
        <w:tc>
          <w:tcPr>
            <w:tcW w:w="2466" w:type="dxa"/>
            <w:vAlign w:val="center"/>
          </w:tcPr>
          <w:p>
            <w:pPr>
              <w:pStyle w:val="28"/>
            </w:pPr>
            <w:r>
              <w:t>按时发放</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工资社保费用</w:t>
            </w:r>
          </w:p>
        </w:tc>
        <w:tc>
          <w:tcPr>
            <w:tcW w:w="2466" w:type="dxa"/>
            <w:vAlign w:val="center"/>
          </w:tcPr>
          <w:p>
            <w:pPr>
              <w:pStyle w:val="28"/>
            </w:pPr>
            <w:r>
              <w:t>工资社保费用</w:t>
            </w:r>
          </w:p>
        </w:tc>
        <w:tc>
          <w:tcPr>
            <w:tcW w:w="2466" w:type="dxa"/>
            <w:vAlign w:val="center"/>
          </w:tcPr>
          <w:p>
            <w:pPr>
              <w:pStyle w:val="28"/>
            </w:pPr>
            <w:r>
              <w:t>按规定执行</w:t>
            </w:r>
          </w:p>
        </w:tc>
        <w:tc>
          <w:tcPr>
            <w:tcW w:w="2466" w:type="dxa"/>
            <w:vAlign w:val="center"/>
          </w:tcPr>
          <w:p>
            <w:pPr>
              <w:pStyle w:val="28"/>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创建办劳务派遣人员工作积极性的提升程度</w:t>
            </w:r>
          </w:p>
        </w:tc>
        <w:tc>
          <w:tcPr>
            <w:tcW w:w="2466" w:type="dxa"/>
            <w:vAlign w:val="center"/>
          </w:tcPr>
          <w:p>
            <w:pPr>
              <w:pStyle w:val="28"/>
            </w:pPr>
            <w:r>
              <w:t>创建办劳务派遣人员工作积极性的提升程度</w:t>
            </w:r>
          </w:p>
        </w:tc>
        <w:tc>
          <w:tcPr>
            <w:tcW w:w="2466" w:type="dxa"/>
            <w:vAlign w:val="center"/>
          </w:tcPr>
          <w:p>
            <w:pPr>
              <w:pStyle w:val="28"/>
            </w:pPr>
            <w:r>
              <w:t>普遍提升</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创建办人员满意度</w:t>
            </w:r>
          </w:p>
        </w:tc>
        <w:tc>
          <w:tcPr>
            <w:tcW w:w="2466" w:type="dxa"/>
            <w:vAlign w:val="center"/>
          </w:tcPr>
          <w:p>
            <w:pPr>
              <w:pStyle w:val="28"/>
            </w:pPr>
            <w:r>
              <w:t>创建办人员满意度</w:t>
            </w:r>
          </w:p>
        </w:tc>
        <w:tc>
          <w:tcPr>
            <w:tcW w:w="2466" w:type="dxa"/>
            <w:vAlign w:val="center"/>
          </w:tcPr>
          <w:p>
            <w:pPr>
              <w:pStyle w:val="28"/>
            </w:pPr>
            <w:r>
              <w:t>≥90%</w:t>
            </w:r>
          </w:p>
        </w:tc>
        <w:tc>
          <w:tcPr>
            <w:tcW w:w="2466" w:type="dxa"/>
            <w:vAlign w:val="center"/>
          </w:tcPr>
          <w:p>
            <w:pPr>
              <w:pStyle w:val="28"/>
            </w:pPr>
            <w:r>
              <w:t>历年经验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8、纪委监委信息系统建设绩效目标表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1.主要推进新时代纪检监察信息化建设，加强网络安全保密体系建设，确保信息资源查询等数据运用全程留痕严格监督</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新时代纪检监察信息化建设</w:t>
            </w:r>
          </w:p>
        </w:tc>
        <w:tc>
          <w:tcPr>
            <w:tcW w:w="2466" w:type="dxa"/>
            <w:vAlign w:val="center"/>
          </w:tcPr>
          <w:p>
            <w:pPr>
              <w:pStyle w:val="28"/>
            </w:pPr>
            <w:r>
              <w:t>每个办案科室配备一套移动办案谈话设备</w:t>
            </w:r>
          </w:p>
        </w:tc>
        <w:tc>
          <w:tcPr>
            <w:tcW w:w="2466" w:type="dxa"/>
            <w:vAlign w:val="center"/>
          </w:tcPr>
          <w:p>
            <w:pPr>
              <w:pStyle w:val="28"/>
            </w:pPr>
            <w:r>
              <w:t>1套</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高科技设备，能更有效的办案</w:t>
            </w:r>
          </w:p>
        </w:tc>
        <w:tc>
          <w:tcPr>
            <w:tcW w:w="2466" w:type="dxa"/>
            <w:vAlign w:val="center"/>
          </w:tcPr>
          <w:p>
            <w:pPr>
              <w:pStyle w:val="28"/>
            </w:pPr>
            <w:r>
              <w:t>使异地办案更方便、快捷、高效</w:t>
            </w:r>
          </w:p>
        </w:tc>
        <w:tc>
          <w:tcPr>
            <w:tcW w:w="2466" w:type="dxa"/>
            <w:vAlign w:val="center"/>
          </w:tcPr>
          <w:p>
            <w:pPr>
              <w:pStyle w:val="28"/>
            </w:pPr>
            <w:r>
              <w:t>高科技设备，能更有效的办案</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处理案件更及时快捷</w:t>
            </w:r>
          </w:p>
        </w:tc>
        <w:tc>
          <w:tcPr>
            <w:tcW w:w="2466" w:type="dxa"/>
            <w:vAlign w:val="center"/>
          </w:tcPr>
          <w:p>
            <w:pPr>
              <w:pStyle w:val="28"/>
            </w:pPr>
            <w:r>
              <w:t>对接受的案件能迅速回应</w:t>
            </w:r>
          </w:p>
        </w:tc>
        <w:tc>
          <w:tcPr>
            <w:tcW w:w="2466" w:type="dxa"/>
            <w:vAlign w:val="center"/>
          </w:tcPr>
          <w:p>
            <w:pPr>
              <w:pStyle w:val="28"/>
            </w:pPr>
            <w:r>
              <w:t>处理案件更及时快捷</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加强对信息化工作人力财力的投入</w:t>
            </w:r>
          </w:p>
        </w:tc>
        <w:tc>
          <w:tcPr>
            <w:tcW w:w="2466" w:type="dxa"/>
            <w:vAlign w:val="center"/>
          </w:tcPr>
          <w:p>
            <w:pPr>
              <w:pStyle w:val="28"/>
            </w:pPr>
            <w:r>
              <w:t>系统研究集约建设避免浪费</w:t>
            </w:r>
          </w:p>
        </w:tc>
        <w:tc>
          <w:tcPr>
            <w:tcW w:w="2466" w:type="dxa"/>
            <w:vAlign w:val="center"/>
          </w:tcPr>
          <w:p>
            <w:pPr>
              <w:pStyle w:val="28"/>
            </w:pPr>
            <w:r>
              <w:t>≥90%</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提升单位的知名度和影响力</w:t>
            </w:r>
          </w:p>
        </w:tc>
        <w:tc>
          <w:tcPr>
            <w:tcW w:w="2466" w:type="dxa"/>
            <w:vAlign w:val="center"/>
          </w:tcPr>
          <w:p>
            <w:pPr>
              <w:pStyle w:val="28"/>
            </w:pPr>
            <w:r>
              <w:t>≥90%</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通过加强基础设施建设，提升党校基础设施建设水平，提高满意度。</w:t>
            </w:r>
          </w:p>
        </w:tc>
        <w:tc>
          <w:tcPr>
            <w:tcW w:w="2466" w:type="dxa"/>
            <w:vAlign w:val="center"/>
          </w:tcPr>
          <w:p>
            <w:pPr>
              <w:pStyle w:val="28"/>
            </w:pPr>
            <w:r>
              <w:t>≥90%</w:t>
            </w:r>
          </w:p>
        </w:tc>
        <w:tc>
          <w:tcPr>
            <w:tcW w:w="2466" w:type="dxa"/>
            <w:vAlign w:val="center"/>
          </w:tcPr>
          <w:p>
            <w:pPr>
              <w:pStyle w:val="28"/>
            </w:pPr>
            <w:r>
              <w:t>根据中纪委信息化工作规划</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2022年，中国共产党石家庄市藁城区纪律检查委员会安排政府采购预算0.00万元。具体内容见下表。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中国共产党石家庄市藁城区纪律检查委员会（含所属单位）上年末固定资产金额为</w:t>
      </w:r>
      <w:r>
        <w:rPr>
          <w:rFonts w:hint="eastAsia" w:eastAsia="方正仿宋_GBK" w:cs="Times New Roman"/>
          <w:b w:val="0"/>
          <w:color w:val="000000"/>
          <w:sz w:val="28"/>
          <w:lang w:val="en-US" w:eastAsia="zh-CN"/>
        </w:rPr>
        <w:t>353.370865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222中国共产党石家庄市藁城区纪律检查委员会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center"/>
              <w:rPr>
                <w:rFonts w:ascii="Times New Roman" w:hAnsi="Times New Roman" w:eastAsia="仿宋" w:cs="Times New Roman"/>
                <w:kern w:val="0"/>
                <w:sz w:val="22"/>
              </w:rPr>
            </w:pPr>
            <w:r>
              <w:rPr>
                <w:rFonts w:hint="eastAsia" w:ascii="宋体" w:hAnsi="宋体" w:cs="宋体"/>
                <w:b/>
                <w:bCs/>
                <w:kern w:val="0"/>
                <w:sz w:val="22"/>
              </w:rPr>
              <w:t>项目</w:t>
            </w:r>
          </w:p>
        </w:tc>
        <w:tc>
          <w:tcPr>
            <w:tcW w:w="4933" w:type="dxa"/>
            <w:vAlign w:val="center"/>
          </w:tcPr>
          <w:p>
            <w:pPr>
              <w:widowControl/>
              <w:jc w:val="center"/>
              <w:rPr>
                <w:rFonts w:ascii="Times New Roman" w:hAnsi="Times New Roman" w:eastAsia="仿宋" w:cs="Times New Roman"/>
                <w:kern w:val="0"/>
                <w:sz w:val="22"/>
              </w:rPr>
            </w:pPr>
            <w:r>
              <w:rPr>
                <w:rFonts w:hint="eastAsia" w:ascii="宋体" w:hAnsi="宋体" w:cs="宋体"/>
                <w:b/>
                <w:bCs/>
                <w:kern w:val="0"/>
                <w:sz w:val="22"/>
              </w:rPr>
              <w:t>数量</w:t>
            </w: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宋体" w:hAnsi="宋体" w:cs="宋体"/>
                <w:b/>
                <w:bCs/>
                <w:kern w:val="0"/>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4933" w:type="dxa"/>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color w:val="auto"/>
                <w:kern w:val="0"/>
                <w:sz w:val="22"/>
                <w:lang w:val="en-US" w:eastAsia="zh-CN"/>
              </w:rPr>
              <w:t>353.370865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4933" w:type="dxa"/>
            <w:vAlign w:val="center"/>
          </w:tcPr>
          <w:p>
            <w:pPr>
              <w:widowControl/>
              <w:jc w:val="center"/>
              <w:rPr>
                <w:rFonts w:ascii="Times New Roman" w:hAnsi="Times New Roman" w:eastAsia="仿宋" w:cs="Times New Roman"/>
                <w:kern w:val="0"/>
                <w:sz w:val="22"/>
              </w:rPr>
            </w:pPr>
          </w:p>
        </w:tc>
        <w:tc>
          <w:tcPr>
            <w:tcW w:w="4933" w:type="dxa"/>
            <w:vAlign w:val="center"/>
          </w:tcPr>
          <w:p>
            <w:pPr>
              <w:widowControl/>
              <w:jc w:val="both"/>
              <w:rPr>
                <w:rFonts w:hint="eastAsia" w:ascii="Times New Roman" w:hAnsi="Times New Roman" w:eastAsia="仿宋" w:cs="Times New Roman"/>
                <w:color w:val="auto"/>
                <w:kern w:val="0"/>
                <w:sz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4933" w:type="dxa"/>
            <w:vAlign w:val="center"/>
          </w:tcPr>
          <w:p>
            <w:pPr>
              <w:widowControl/>
              <w:jc w:val="center"/>
              <w:rPr>
                <w:rFonts w:ascii="Times New Roman" w:hAnsi="Times New Roman" w:eastAsia="仿宋" w:cs="Times New Roman"/>
                <w:kern w:val="0"/>
                <w:sz w:val="22"/>
              </w:rPr>
            </w:pP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4933" w:type="dxa"/>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en-US" w:eastAsia="zh-CN"/>
              </w:rPr>
              <w:t>11</w:t>
            </w: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kern w:val="0"/>
                <w:sz w:val="22"/>
                <w:lang w:val="en-US" w:eastAsia="zh-CN"/>
              </w:rPr>
              <w:t>123.364872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4933" w:type="dxa"/>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4933" w:type="dxa"/>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4933" w:type="dxa"/>
            <w:vAlign w:val="center"/>
          </w:tcPr>
          <w:p>
            <w:pPr>
              <w:widowControl/>
              <w:jc w:val="center"/>
              <w:rPr>
                <w:rFonts w:hint="eastAsia" w:ascii="Times New Roman" w:hAnsi="Times New Roman" w:eastAsia="仿宋" w:cs="Times New Roman"/>
                <w:color w:val="auto"/>
                <w:kern w:val="0"/>
                <w:sz w:val="22"/>
                <w:lang w:val="en-US" w:eastAsia="zh-CN"/>
              </w:rPr>
            </w:pPr>
            <w:r>
              <w:rPr>
                <w:rFonts w:hint="eastAsia" w:ascii="Times New Roman" w:hAnsi="Times New Roman" w:eastAsia="仿宋" w:cs="Times New Roman"/>
                <w:kern w:val="0"/>
                <w:sz w:val="22"/>
                <w:lang w:val="en-US" w:eastAsia="zh-CN"/>
              </w:rPr>
              <w:t>230.005993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jc w:val="both"/>
        <w:outlineLvl w:val="0"/>
        <w:rPr>
          <w:rFonts w:ascii="方正小标宋_GBK" w:hAnsi="方正小标宋_GBK" w:eastAsia="方正小标宋_GBK" w:cs="方正小标宋_GBK"/>
          <w:color w:val="000000"/>
          <w:sz w:val="72"/>
        </w:rPr>
      </w:pPr>
    </w:p>
    <w:p>
      <w:pPr>
        <w:spacing w:before="0" w:after="0" w:line="240" w:lineRule="auto"/>
        <w:ind w:firstLine="2880" w:firstLineChars="400"/>
        <w:jc w:val="both"/>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一、中国共产党石家庄市藁城区纪律检查委员会本级收支预算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2021.78</w:t>
            </w:r>
          </w:p>
        </w:tc>
        <w:tc>
          <w:tcPr>
            <w:tcW w:w="2959" w:type="dxa"/>
            <w:vAlign w:val="center"/>
          </w:tcPr>
          <w:p>
            <w:pPr>
              <w:pStyle w:val="14"/>
            </w:pPr>
            <w:r>
              <w:t>一、一般公共服务支出</w:t>
            </w:r>
          </w:p>
        </w:tc>
        <w:tc>
          <w:tcPr>
            <w:tcW w:w="2959" w:type="dxa"/>
            <w:vAlign w:val="center"/>
          </w:tcPr>
          <w:p>
            <w:pPr>
              <w:pStyle w:val="13"/>
            </w:pPr>
            <w:r>
              <w:t>2021.78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pPr>
            <w:r>
              <w:t>2021.78</w:t>
            </w:r>
          </w:p>
        </w:tc>
        <w:tc>
          <w:tcPr>
            <w:tcW w:w="2959" w:type="dxa"/>
            <w:vAlign w:val="center"/>
          </w:tcPr>
          <w:p>
            <w:pPr>
              <w:pStyle w:val="16"/>
            </w:pPr>
            <w:r>
              <w:t>本年支出合计</w:t>
            </w:r>
          </w:p>
        </w:tc>
        <w:tc>
          <w:tcPr>
            <w:tcW w:w="2959" w:type="dxa"/>
            <w:vAlign w:val="center"/>
          </w:tcPr>
          <w:p>
            <w:pPr>
              <w:pStyle w:val="17"/>
            </w:pPr>
            <w:r>
              <w:t>2021.78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pPr>
            <w:r>
              <w:t>2021.78</w:t>
            </w:r>
          </w:p>
        </w:tc>
        <w:tc>
          <w:tcPr>
            <w:tcW w:w="2959" w:type="dxa"/>
            <w:vAlign w:val="center"/>
          </w:tcPr>
          <w:p>
            <w:pPr>
              <w:pStyle w:val="16"/>
            </w:pPr>
            <w:r>
              <w:t>支出总计</w:t>
            </w:r>
          </w:p>
        </w:tc>
        <w:tc>
          <w:tcPr>
            <w:tcW w:w="2959" w:type="dxa"/>
            <w:vAlign w:val="center"/>
          </w:tcPr>
          <w:p>
            <w:pPr>
              <w:pStyle w:val="17"/>
            </w:pPr>
            <w:r>
              <w:t>2021.78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2021.78</w:t>
            </w:r>
          </w:p>
        </w:tc>
        <w:tc>
          <w:tcPr>
            <w:tcW w:w="758" w:type="dxa"/>
            <w:vAlign w:val="center"/>
          </w:tcPr>
          <w:p>
            <w:pPr>
              <w:pStyle w:val="17"/>
            </w:pPr>
            <w:r>
              <w:t>2021.78</w:t>
            </w:r>
          </w:p>
        </w:tc>
        <w:tc>
          <w:tcPr>
            <w:tcW w:w="758" w:type="dxa"/>
            <w:vAlign w:val="center"/>
          </w:tcPr>
          <w:p>
            <w:pPr>
              <w:pStyle w:val="17"/>
            </w:pPr>
            <w:r>
              <w:t>2021.78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r>
              <w:t>2021.78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1482.78</w:t>
            </w:r>
          </w:p>
        </w:tc>
        <w:tc>
          <w:tcPr>
            <w:tcW w:w="758" w:type="dxa"/>
            <w:vAlign w:val="center"/>
          </w:tcPr>
          <w:p>
            <w:pPr>
              <w:pStyle w:val="13"/>
            </w:pPr>
            <w:r>
              <w:t>1482.78</w:t>
            </w:r>
          </w:p>
        </w:tc>
        <w:tc>
          <w:tcPr>
            <w:tcW w:w="758" w:type="dxa"/>
            <w:vAlign w:val="center"/>
          </w:tcPr>
          <w:p>
            <w:pPr>
              <w:pStyle w:val="13"/>
            </w:pPr>
            <w:r>
              <w:t>1482.78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2011102</w:t>
            </w:r>
          </w:p>
        </w:tc>
        <w:tc>
          <w:tcPr>
            <w:tcW w:w="758" w:type="dxa"/>
            <w:vAlign w:val="center"/>
          </w:tcPr>
          <w:p>
            <w:pPr>
              <w:pStyle w:val="14"/>
            </w:pPr>
            <w:r>
              <w:t>一般行政管理事务</w:t>
            </w:r>
          </w:p>
        </w:tc>
        <w:tc>
          <w:tcPr>
            <w:tcW w:w="758" w:type="dxa"/>
            <w:vAlign w:val="center"/>
          </w:tcPr>
          <w:p>
            <w:pPr>
              <w:pStyle w:val="13"/>
            </w:pPr>
            <w:r>
              <w:t>339.20</w:t>
            </w:r>
          </w:p>
        </w:tc>
        <w:tc>
          <w:tcPr>
            <w:tcW w:w="758" w:type="dxa"/>
            <w:vAlign w:val="center"/>
          </w:tcPr>
          <w:p>
            <w:pPr>
              <w:pStyle w:val="13"/>
            </w:pPr>
            <w:r>
              <w:t>339.20</w:t>
            </w:r>
          </w:p>
        </w:tc>
        <w:tc>
          <w:tcPr>
            <w:tcW w:w="758" w:type="dxa"/>
            <w:vAlign w:val="center"/>
          </w:tcPr>
          <w:p>
            <w:pPr>
              <w:pStyle w:val="13"/>
            </w:pPr>
            <w:r>
              <w:t>339.20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2011104</w:t>
            </w:r>
          </w:p>
        </w:tc>
        <w:tc>
          <w:tcPr>
            <w:tcW w:w="758" w:type="dxa"/>
            <w:vAlign w:val="center"/>
          </w:tcPr>
          <w:p>
            <w:pPr>
              <w:pStyle w:val="14"/>
            </w:pPr>
            <w:r>
              <w:t>大案要案查处</w:t>
            </w:r>
          </w:p>
        </w:tc>
        <w:tc>
          <w:tcPr>
            <w:tcW w:w="758" w:type="dxa"/>
            <w:vAlign w:val="center"/>
          </w:tcPr>
          <w:p>
            <w:pPr>
              <w:pStyle w:val="13"/>
            </w:pPr>
            <w:r>
              <w:t>199.80</w:t>
            </w:r>
          </w:p>
        </w:tc>
        <w:tc>
          <w:tcPr>
            <w:tcW w:w="758" w:type="dxa"/>
            <w:vAlign w:val="center"/>
          </w:tcPr>
          <w:p>
            <w:pPr>
              <w:pStyle w:val="13"/>
            </w:pPr>
            <w:r>
              <w:t>199.80</w:t>
            </w:r>
          </w:p>
        </w:tc>
        <w:tc>
          <w:tcPr>
            <w:tcW w:w="758" w:type="dxa"/>
            <w:vAlign w:val="center"/>
          </w:tcPr>
          <w:p>
            <w:pPr>
              <w:pStyle w:val="13"/>
            </w:pPr>
            <w:r>
              <w:t>199.80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2021.78</w:t>
            </w:r>
          </w:p>
        </w:tc>
        <w:tc>
          <w:tcPr>
            <w:tcW w:w="1095" w:type="dxa"/>
            <w:vAlign w:val="center"/>
          </w:tcPr>
          <w:p>
            <w:pPr>
              <w:pStyle w:val="17"/>
            </w:pPr>
            <w:r>
              <w:t>1482.78</w:t>
            </w:r>
          </w:p>
        </w:tc>
        <w:tc>
          <w:tcPr>
            <w:tcW w:w="1095" w:type="dxa"/>
            <w:vAlign w:val="center"/>
          </w:tcPr>
          <w:p>
            <w:pPr>
              <w:pStyle w:val="17"/>
            </w:pPr>
            <w:r>
              <w:t>539.00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2021.78</w:t>
            </w:r>
          </w:p>
        </w:tc>
        <w:tc>
          <w:tcPr>
            <w:tcW w:w="1095" w:type="dxa"/>
            <w:vAlign w:val="center"/>
          </w:tcPr>
          <w:p>
            <w:pPr>
              <w:pStyle w:val="13"/>
            </w:pPr>
            <w:r>
              <w:t>1482.78</w:t>
            </w:r>
          </w:p>
        </w:tc>
        <w:tc>
          <w:tcPr>
            <w:tcW w:w="1095" w:type="dxa"/>
            <w:vAlign w:val="center"/>
          </w:tcPr>
          <w:p>
            <w:pPr>
              <w:pStyle w:val="13"/>
            </w:pPr>
            <w:r>
              <w:t>539.00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2021.78</w:t>
            </w:r>
          </w:p>
        </w:tc>
        <w:tc>
          <w:tcPr>
            <w:tcW w:w="1095" w:type="dxa"/>
            <w:vAlign w:val="center"/>
          </w:tcPr>
          <w:p>
            <w:pPr>
              <w:pStyle w:val="13"/>
            </w:pPr>
            <w:r>
              <w:t>1482.78</w:t>
            </w:r>
          </w:p>
        </w:tc>
        <w:tc>
          <w:tcPr>
            <w:tcW w:w="1095" w:type="dxa"/>
            <w:vAlign w:val="center"/>
          </w:tcPr>
          <w:p>
            <w:pPr>
              <w:pStyle w:val="13"/>
            </w:pPr>
            <w:r>
              <w:t>539.00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1482.78</w:t>
            </w:r>
          </w:p>
        </w:tc>
        <w:tc>
          <w:tcPr>
            <w:tcW w:w="1095" w:type="dxa"/>
            <w:vAlign w:val="center"/>
          </w:tcPr>
          <w:p>
            <w:pPr>
              <w:pStyle w:val="13"/>
            </w:pPr>
            <w:r>
              <w:t>1482.78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2011102</w:t>
            </w:r>
          </w:p>
        </w:tc>
        <w:tc>
          <w:tcPr>
            <w:tcW w:w="1095" w:type="dxa"/>
            <w:vAlign w:val="center"/>
          </w:tcPr>
          <w:p>
            <w:pPr>
              <w:pStyle w:val="14"/>
            </w:pPr>
            <w:r>
              <w:t>一般行政管理事务</w:t>
            </w:r>
          </w:p>
        </w:tc>
        <w:tc>
          <w:tcPr>
            <w:tcW w:w="1095" w:type="dxa"/>
            <w:vAlign w:val="center"/>
          </w:tcPr>
          <w:p>
            <w:pPr>
              <w:pStyle w:val="13"/>
            </w:pPr>
            <w:r>
              <w:t>339.20</w:t>
            </w:r>
          </w:p>
        </w:tc>
        <w:tc>
          <w:tcPr>
            <w:tcW w:w="1095" w:type="dxa"/>
            <w:vAlign w:val="center"/>
          </w:tcPr>
          <w:p>
            <w:pPr>
              <w:pStyle w:val="13"/>
            </w:pPr>
          </w:p>
        </w:tc>
        <w:tc>
          <w:tcPr>
            <w:tcW w:w="1095" w:type="dxa"/>
            <w:vAlign w:val="center"/>
          </w:tcPr>
          <w:p>
            <w:pPr>
              <w:pStyle w:val="13"/>
            </w:pPr>
            <w:r>
              <w:t>339.20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2011104</w:t>
            </w:r>
          </w:p>
        </w:tc>
        <w:tc>
          <w:tcPr>
            <w:tcW w:w="1095" w:type="dxa"/>
            <w:vAlign w:val="center"/>
          </w:tcPr>
          <w:p>
            <w:pPr>
              <w:pStyle w:val="14"/>
            </w:pPr>
            <w:r>
              <w:t>大案要案查处</w:t>
            </w:r>
          </w:p>
        </w:tc>
        <w:tc>
          <w:tcPr>
            <w:tcW w:w="1095" w:type="dxa"/>
            <w:vAlign w:val="center"/>
          </w:tcPr>
          <w:p>
            <w:pPr>
              <w:pStyle w:val="13"/>
            </w:pPr>
            <w:r>
              <w:t>199.80</w:t>
            </w:r>
          </w:p>
        </w:tc>
        <w:tc>
          <w:tcPr>
            <w:tcW w:w="1095" w:type="dxa"/>
            <w:vAlign w:val="center"/>
          </w:tcPr>
          <w:p>
            <w:pPr>
              <w:pStyle w:val="13"/>
            </w:pPr>
          </w:p>
        </w:tc>
        <w:tc>
          <w:tcPr>
            <w:tcW w:w="1095" w:type="dxa"/>
            <w:vAlign w:val="center"/>
          </w:tcPr>
          <w:p>
            <w:pPr>
              <w:pStyle w:val="13"/>
            </w:pPr>
            <w:r>
              <w:t>199.80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2021.78</w:t>
            </w:r>
          </w:p>
        </w:tc>
        <w:tc>
          <w:tcPr>
            <w:tcW w:w="1232" w:type="dxa"/>
            <w:vAlign w:val="center"/>
          </w:tcPr>
          <w:p>
            <w:pPr>
              <w:pStyle w:val="14"/>
            </w:pPr>
            <w:r>
              <w:t>一、一般公共服务支出</w:t>
            </w:r>
          </w:p>
        </w:tc>
        <w:tc>
          <w:tcPr>
            <w:tcW w:w="1232" w:type="dxa"/>
            <w:vAlign w:val="center"/>
          </w:tcPr>
          <w:p>
            <w:pPr>
              <w:pStyle w:val="13"/>
            </w:pPr>
            <w:r>
              <w:t>2021.78</w:t>
            </w:r>
          </w:p>
        </w:tc>
        <w:tc>
          <w:tcPr>
            <w:tcW w:w="1232" w:type="dxa"/>
            <w:vAlign w:val="center"/>
          </w:tcPr>
          <w:p>
            <w:pPr>
              <w:pStyle w:val="13"/>
            </w:pPr>
            <w:r>
              <w:t>2021.78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2021.78</w:t>
            </w:r>
          </w:p>
        </w:tc>
        <w:tc>
          <w:tcPr>
            <w:tcW w:w="1232" w:type="dxa"/>
            <w:vAlign w:val="center"/>
          </w:tcPr>
          <w:p>
            <w:pPr>
              <w:pStyle w:val="16"/>
            </w:pPr>
            <w:r>
              <w:t>本年支出合计</w:t>
            </w:r>
          </w:p>
        </w:tc>
        <w:tc>
          <w:tcPr>
            <w:tcW w:w="1232" w:type="dxa"/>
            <w:vAlign w:val="center"/>
          </w:tcPr>
          <w:p>
            <w:pPr>
              <w:pStyle w:val="17"/>
            </w:pPr>
            <w:r>
              <w:t>2021.78</w:t>
            </w:r>
          </w:p>
        </w:tc>
        <w:tc>
          <w:tcPr>
            <w:tcW w:w="1232" w:type="dxa"/>
            <w:vAlign w:val="center"/>
          </w:tcPr>
          <w:p>
            <w:pPr>
              <w:pStyle w:val="17"/>
            </w:pPr>
            <w:r>
              <w:t>2021.78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2021.78</w:t>
            </w:r>
          </w:p>
        </w:tc>
        <w:tc>
          <w:tcPr>
            <w:tcW w:w="1232" w:type="dxa"/>
            <w:vAlign w:val="center"/>
          </w:tcPr>
          <w:p>
            <w:pPr>
              <w:pStyle w:val="16"/>
            </w:pPr>
            <w:r>
              <w:t>支出总计</w:t>
            </w:r>
          </w:p>
        </w:tc>
        <w:tc>
          <w:tcPr>
            <w:tcW w:w="1232" w:type="dxa"/>
            <w:vAlign w:val="center"/>
          </w:tcPr>
          <w:p>
            <w:pPr>
              <w:pStyle w:val="17"/>
            </w:pPr>
            <w:r>
              <w:t>2021.78</w:t>
            </w:r>
          </w:p>
        </w:tc>
        <w:tc>
          <w:tcPr>
            <w:tcW w:w="1232" w:type="dxa"/>
            <w:vAlign w:val="center"/>
          </w:tcPr>
          <w:p>
            <w:pPr>
              <w:pStyle w:val="17"/>
            </w:pPr>
            <w:r>
              <w:t>2021.78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2021.78</w:t>
            </w:r>
          </w:p>
        </w:tc>
        <w:tc>
          <w:tcPr>
            <w:tcW w:w="1643" w:type="dxa"/>
            <w:vAlign w:val="center"/>
          </w:tcPr>
          <w:p>
            <w:pPr>
              <w:pStyle w:val="17"/>
            </w:pPr>
            <w:r>
              <w:t>1482.78</w:t>
            </w:r>
          </w:p>
        </w:tc>
        <w:tc>
          <w:tcPr>
            <w:tcW w:w="1643" w:type="dxa"/>
            <w:vAlign w:val="center"/>
          </w:tcPr>
          <w:p>
            <w:pPr>
              <w:pStyle w:val="17"/>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2021.78</w:t>
            </w:r>
          </w:p>
        </w:tc>
        <w:tc>
          <w:tcPr>
            <w:tcW w:w="1643" w:type="dxa"/>
            <w:vAlign w:val="center"/>
          </w:tcPr>
          <w:p>
            <w:pPr>
              <w:pStyle w:val="13"/>
            </w:pPr>
            <w:r>
              <w:t>1482.78</w:t>
            </w:r>
          </w:p>
        </w:tc>
        <w:tc>
          <w:tcPr>
            <w:tcW w:w="1643" w:type="dxa"/>
            <w:vAlign w:val="center"/>
          </w:tcPr>
          <w:p>
            <w:pPr>
              <w:pStyle w:val="13"/>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2021.78</w:t>
            </w:r>
          </w:p>
        </w:tc>
        <w:tc>
          <w:tcPr>
            <w:tcW w:w="1643" w:type="dxa"/>
            <w:vAlign w:val="center"/>
          </w:tcPr>
          <w:p>
            <w:pPr>
              <w:pStyle w:val="13"/>
            </w:pPr>
            <w:r>
              <w:t>1482.78</w:t>
            </w:r>
          </w:p>
        </w:tc>
        <w:tc>
          <w:tcPr>
            <w:tcW w:w="1643" w:type="dxa"/>
            <w:vAlign w:val="center"/>
          </w:tcPr>
          <w:p>
            <w:pPr>
              <w:pStyle w:val="13"/>
            </w:pPr>
            <w:r>
              <w:t>539.00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1482.78</w:t>
            </w:r>
          </w:p>
        </w:tc>
        <w:tc>
          <w:tcPr>
            <w:tcW w:w="1643" w:type="dxa"/>
            <w:vAlign w:val="center"/>
          </w:tcPr>
          <w:p>
            <w:pPr>
              <w:pStyle w:val="13"/>
            </w:pPr>
            <w:r>
              <w:t>1482.78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2011102</w:t>
            </w:r>
          </w:p>
        </w:tc>
        <w:tc>
          <w:tcPr>
            <w:tcW w:w="1643" w:type="dxa"/>
            <w:vAlign w:val="center"/>
          </w:tcPr>
          <w:p>
            <w:pPr>
              <w:pStyle w:val="14"/>
            </w:pPr>
            <w:r>
              <w:t>一般行政管理事务</w:t>
            </w:r>
          </w:p>
        </w:tc>
        <w:tc>
          <w:tcPr>
            <w:tcW w:w="1643" w:type="dxa"/>
            <w:vAlign w:val="center"/>
          </w:tcPr>
          <w:p>
            <w:pPr>
              <w:pStyle w:val="13"/>
            </w:pPr>
            <w:r>
              <w:t>339.20</w:t>
            </w:r>
          </w:p>
        </w:tc>
        <w:tc>
          <w:tcPr>
            <w:tcW w:w="1643" w:type="dxa"/>
            <w:vAlign w:val="center"/>
          </w:tcPr>
          <w:p>
            <w:pPr>
              <w:pStyle w:val="13"/>
            </w:pPr>
          </w:p>
        </w:tc>
        <w:tc>
          <w:tcPr>
            <w:tcW w:w="1643" w:type="dxa"/>
            <w:vAlign w:val="center"/>
          </w:tcPr>
          <w:p>
            <w:pPr>
              <w:pStyle w:val="13"/>
            </w:pPr>
            <w:r>
              <w:t>339.20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2011104</w:t>
            </w:r>
          </w:p>
        </w:tc>
        <w:tc>
          <w:tcPr>
            <w:tcW w:w="1643" w:type="dxa"/>
            <w:vAlign w:val="center"/>
          </w:tcPr>
          <w:p>
            <w:pPr>
              <w:pStyle w:val="14"/>
            </w:pPr>
            <w:r>
              <w:t>大案要案查处</w:t>
            </w:r>
          </w:p>
        </w:tc>
        <w:tc>
          <w:tcPr>
            <w:tcW w:w="1643" w:type="dxa"/>
            <w:vAlign w:val="center"/>
          </w:tcPr>
          <w:p>
            <w:pPr>
              <w:pStyle w:val="13"/>
            </w:pPr>
            <w:r>
              <w:t>199.80</w:t>
            </w:r>
          </w:p>
        </w:tc>
        <w:tc>
          <w:tcPr>
            <w:tcW w:w="1643" w:type="dxa"/>
            <w:vAlign w:val="center"/>
          </w:tcPr>
          <w:p>
            <w:pPr>
              <w:pStyle w:val="13"/>
            </w:pPr>
          </w:p>
        </w:tc>
        <w:tc>
          <w:tcPr>
            <w:tcW w:w="1643" w:type="dxa"/>
            <w:vAlign w:val="center"/>
          </w:tcPr>
          <w:p>
            <w:pPr>
              <w:pStyle w:val="13"/>
            </w:pPr>
            <w:r>
              <w:t>199.80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1482.78</w:t>
            </w:r>
          </w:p>
        </w:tc>
        <w:tc>
          <w:tcPr>
            <w:tcW w:w="1643" w:type="dxa"/>
            <w:vAlign w:val="center"/>
          </w:tcPr>
          <w:p>
            <w:pPr>
              <w:pStyle w:val="17"/>
            </w:pPr>
            <w:r>
              <w:t>1325.16</w:t>
            </w:r>
          </w:p>
        </w:tc>
        <w:tc>
          <w:tcPr>
            <w:tcW w:w="1643" w:type="dxa"/>
            <w:vAlign w:val="center"/>
          </w:tcPr>
          <w:p>
            <w:pPr>
              <w:pStyle w:val="17"/>
            </w:pPr>
            <w:r>
              <w:t>157.63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1325.16</w:t>
            </w:r>
          </w:p>
        </w:tc>
        <w:tc>
          <w:tcPr>
            <w:tcW w:w="1643" w:type="dxa"/>
            <w:vAlign w:val="center"/>
          </w:tcPr>
          <w:p>
            <w:pPr>
              <w:pStyle w:val="13"/>
            </w:pPr>
            <w:r>
              <w:t>1325.16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308.56</w:t>
            </w:r>
          </w:p>
        </w:tc>
        <w:tc>
          <w:tcPr>
            <w:tcW w:w="1643" w:type="dxa"/>
            <w:vAlign w:val="center"/>
          </w:tcPr>
          <w:p>
            <w:pPr>
              <w:pStyle w:val="13"/>
            </w:pPr>
            <w:r>
              <w:t>308.56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546.59</w:t>
            </w:r>
          </w:p>
        </w:tc>
        <w:tc>
          <w:tcPr>
            <w:tcW w:w="1643" w:type="dxa"/>
            <w:vAlign w:val="center"/>
          </w:tcPr>
          <w:p>
            <w:pPr>
              <w:pStyle w:val="13"/>
            </w:pPr>
            <w:r>
              <w:t>546.59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24.11</w:t>
            </w:r>
          </w:p>
        </w:tc>
        <w:tc>
          <w:tcPr>
            <w:tcW w:w="1643" w:type="dxa"/>
            <w:vAlign w:val="center"/>
          </w:tcPr>
          <w:p>
            <w:pPr>
              <w:pStyle w:val="13"/>
            </w:pPr>
            <w:r>
              <w:t>24.11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17.64</w:t>
            </w:r>
          </w:p>
        </w:tc>
        <w:tc>
          <w:tcPr>
            <w:tcW w:w="1643" w:type="dxa"/>
            <w:vAlign w:val="center"/>
          </w:tcPr>
          <w:p>
            <w:pPr>
              <w:pStyle w:val="13"/>
            </w:pPr>
            <w:r>
              <w:t>17.64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118.47</w:t>
            </w:r>
          </w:p>
        </w:tc>
        <w:tc>
          <w:tcPr>
            <w:tcW w:w="1643" w:type="dxa"/>
            <w:vAlign w:val="center"/>
          </w:tcPr>
          <w:p>
            <w:pPr>
              <w:pStyle w:val="13"/>
            </w:pPr>
            <w:r>
              <w:t>118.47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62.20</w:t>
            </w:r>
          </w:p>
        </w:tc>
        <w:tc>
          <w:tcPr>
            <w:tcW w:w="1643" w:type="dxa"/>
            <w:vAlign w:val="center"/>
          </w:tcPr>
          <w:p>
            <w:pPr>
              <w:pStyle w:val="13"/>
            </w:pPr>
            <w:r>
              <w:t>62.20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48.13</w:t>
            </w:r>
          </w:p>
        </w:tc>
        <w:tc>
          <w:tcPr>
            <w:tcW w:w="1643" w:type="dxa"/>
            <w:vAlign w:val="center"/>
          </w:tcPr>
          <w:p>
            <w:pPr>
              <w:pStyle w:val="13"/>
            </w:pPr>
            <w:r>
              <w:t>48.13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101.29</w:t>
            </w:r>
          </w:p>
        </w:tc>
        <w:tc>
          <w:tcPr>
            <w:tcW w:w="1643" w:type="dxa"/>
            <w:vAlign w:val="center"/>
          </w:tcPr>
          <w:p>
            <w:pPr>
              <w:pStyle w:val="13"/>
            </w:pPr>
            <w:r>
              <w:t>101.29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98.18</w:t>
            </w:r>
          </w:p>
        </w:tc>
        <w:tc>
          <w:tcPr>
            <w:tcW w:w="1643" w:type="dxa"/>
            <w:vAlign w:val="center"/>
          </w:tcPr>
          <w:p>
            <w:pPr>
              <w:pStyle w:val="13"/>
            </w:pPr>
            <w:r>
              <w:t>98.18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157.63</w:t>
            </w:r>
          </w:p>
        </w:tc>
        <w:tc>
          <w:tcPr>
            <w:tcW w:w="1643" w:type="dxa"/>
            <w:vAlign w:val="center"/>
          </w:tcPr>
          <w:p>
            <w:pPr>
              <w:pStyle w:val="13"/>
            </w:pPr>
          </w:p>
        </w:tc>
        <w:tc>
          <w:tcPr>
            <w:tcW w:w="1643" w:type="dxa"/>
            <w:vAlign w:val="center"/>
          </w:tcPr>
          <w:p>
            <w:pPr>
              <w:pStyle w:val="13"/>
            </w:pPr>
            <w:r>
              <w:t>157.63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30.80</w:t>
            </w:r>
          </w:p>
        </w:tc>
        <w:tc>
          <w:tcPr>
            <w:tcW w:w="1643" w:type="dxa"/>
            <w:vAlign w:val="center"/>
          </w:tcPr>
          <w:p>
            <w:pPr>
              <w:pStyle w:val="13"/>
            </w:pPr>
          </w:p>
        </w:tc>
        <w:tc>
          <w:tcPr>
            <w:tcW w:w="1643" w:type="dxa"/>
            <w:vAlign w:val="center"/>
          </w:tcPr>
          <w:p>
            <w:pPr>
              <w:pStyle w:val="13"/>
            </w:pPr>
            <w:r>
              <w:t>30.80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36.90</w:t>
            </w:r>
          </w:p>
        </w:tc>
        <w:tc>
          <w:tcPr>
            <w:tcW w:w="1643" w:type="dxa"/>
            <w:vAlign w:val="center"/>
          </w:tcPr>
          <w:p>
            <w:pPr>
              <w:pStyle w:val="13"/>
            </w:pPr>
          </w:p>
        </w:tc>
        <w:tc>
          <w:tcPr>
            <w:tcW w:w="1643" w:type="dxa"/>
            <w:vAlign w:val="center"/>
          </w:tcPr>
          <w:p>
            <w:pPr>
              <w:pStyle w:val="13"/>
            </w:pPr>
            <w:r>
              <w:t>36.90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6.63</w:t>
            </w:r>
          </w:p>
        </w:tc>
        <w:tc>
          <w:tcPr>
            <w:tcW w:w="1643" w:type="dxa"/>
            <w:vAlign w:val="center"/>
          </w:tcPr>
          <w:p>
            <w:pPr>
              <w:pStyle w:val="13"/>
            </w:pPr>
          </w:p>
        </w:tc>
        <w:tc>
          <w:tcPr>
            <w:tcW w:w="1643" w:type="dxa"/>
            <w:vAlign w:val="center"/>
          </w:tcPr>
          <w:p>
            <w:pPr>
              <w:pStyle w:val="13"/>
            </w:pPr>
            <w:r>
              <w:t>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7.71</w:t>
            </w:r>
          </w:p>
        </w:tc>
        <w:tc>
          <w:tcPr>
            <w:tcW w:w="1643" w:type="dxa"/>
            <w:vAlign w:val="center"/>
          </w:tcPr>
          <w:p>
            <w:pPr>
              <w:pStyle w:val="13"/>
            </w:pPr>
          </w:p>
        </w:tc>
        <w:tc>
          <w:tcPr>
            <w:tcW w:w="1643" w:type="dxa"/>
            <w:vAlign w:val="center"/>
          </w:tcPr>
          <w:p>
            <w:pPr>
              <w:pStyle w:val="13"/>
            </w:pPr>
            <w:r>
              <w:t>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24.20</w:t>
            </w:r>
          </w:p>
        </w:tc>
        <w:tc>
          <w:tcPr>
            <w:tcW w:w="1643" w:type="dxa"/>
            <w:vAlign w:val="center"/>
          </w:tcPr>
          <w:p>
            <w:pPr>
              <w:pStyle w:val="13"/>
            </w:pPr>
          </w:p>
        </w:tc>
        <w:tc>
          <w:tcPr>
            <w:tcW w:w="1643" w:type="dxa"/>
            <w:vAlign w:val="center"/>
          </w:tcPr>
          <w:p>
            <w:pPr>
              <w:pStyle w:val="13"/>
            </w:pPr>
            <w:r>
              <w:t>24.20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47.81</w:t>
            </w:r>
          </w:p>
        </w:tc>
        <w:tc>
          <w:tcPr>
            <w:tcW w:w="1643" w:type="dxa"/>
            <w:vAlign w:val="center"/>
          </w:tcPr>
          <w:p>
            <w:pPr>
              <w:pStyle w:val="13"/>
            </w:pPr>
          </w:p>
        </w:tc>
        <w:tc>
          <w:tcPr>
            <w:tcW w:w="1643" w:type="dxa"/>
            <w:vAlign w:val="center"/>
          </w:tcPr>
          <w:p>
            <w:pPr>
              <w:pStyle w:val="13"/>
            </w:pPr>
            <w:r>
              <w:t>47.81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3.58</w:t>
            </w:r>
          </w:p>
        </w:tc>
        <w:tc>
          <w:tcPr>
            <w:tcW w:w="1643" w:type="dxa"/>
            <w:vAlign w:val="center"/>
          </w:tcPr>
          <w:p>
            <w:pPr>
              <w:pStyle w:val="13"/>
            </w:pPr>
          </w:p>
        </w:tc>
        <w:tc>
          <w:tcPr>
            <w:tcW w:w="1643" w:type="dxa"/>
            <w:vAlign w:val="center"/>
          </w:tcPr>
          <w:p>
            <w:pPr>
              <w:pStyle w:val="13"/>
            </w:pPr>
            <w:r>
              <w:t>3.58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24.2</w:t>
            </w:r>
          </w:p>
        </w:tc>
        <w:tc>
          <w:tcPr>
            <w:tcW w:w="1643" w:type="dxa"/>
            <w:vAlign w:val="center"/>
          </w:tcPr>
          <w:p>
            <w:pPr>
              <w:pStyle w:val="17"/>
              <w:rPr>
                <w:rFonts w:hint="default" w:eastAsia="方正书宋_GBK"/>
                <w:lang w:val="en-US" w:eastAsia="zh-CN"/>
              </w:rPr>
            </w:pPr>
            <w:r>
              <w:rPr>
                <w:rFonts w:hint="eastAsia"/>
                <w:lang w:val="en-US" w:eastAsia="zh-CN"/>
              </w:rPr>
              <w:t>24.2</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rPr>
                <w:rFonts w:hint="default" w:eastAsia="方正书宋_GBK"/>
                <w:lang w:val="en-US" w:eastAsia="zh-CN"/>
              </w:rPr>
            </w:pPr>
            <w:r>
              <w:rPr>
                <w:rFonts w:hint="eastAsia"/>
                <w:lang w:val="en-US" w:eastAsia="zh-CN"/>
              </w:rPr>
              <w:t>24.2</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24.20</w:t>
            </w:r>
          </w:p>
        </w:tc>
        <w:tc>
          <w:tcPr>
            <w:tcW w:w="1643" w:type="dxa"/>
            <w:vAlign w:val="center"/>
          </w:tcPr>
          <w:p>
            <w:pPr>
              <w:pStyle w:val="13"/>
            </w:pPr>
            <w:r>
              <w:t>24.20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中国共产党石家庄市藁城区纪律检查委员会本级2022年单位预算信息公开情况说明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按照《预算法》、《地方预决算公开操作规程》和《关于进一步推进预算公开工作的实施意见》规定，现将中国共产党石家庄市藁城区纪律检查委员会本级2022年单位预算公开如下：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line="500" w:lineRule="exact"/>
        <w:ind w:firstLine="560"/>
        <w:rPr>
          <w:rFonts w:ascii="方正仿宋_GBK" w:eastAsia="方正仿宋_GBK"/>
          <w:sz w:val="28"/>
        </w:rPr>
      </w:pPr>
      <w:r>
        <w:rPr>
          <w:rFonts w:ascii="方正楷体_GBK" w:hAnsi="方正楷体_GBK" w:eastAsia="方正楷体_GBK" w:cs="方正楷体_GBK"/>
          <w:b/>
          <w:color w:val="000000"/>
          <w:sz w:val="32"/>
        </w:rPr>
        <w:t>单位职责：</w:t>
      </w:r>
      <w:r>
        <w:rPr>
          <w:rFonts w:ascii="方正仿宋_GBK" w:eastAsia="方正仿宋_GBK"/>
          <w:sz w:val="28"/>
        </w:rPr>
        <w:t>加强党内政治生活监督检查。按照《关于新形势下党内政治生活的若干准则》要求，重点检查党的方针政策执行不到位。</w:t>
      </w:r>
    </w:p>
    <w:p>
      <w:pPr>
        <w:spacing w:line="500" w:lineRule="exact"/>
        <w:ind w:firstLine="560"/>
        <w:rPr>
          <w:rFonts w:ascii="方正仿宋_GBK" w:eastAsia="方正仿宋_GBK"/>
          <w:sz w:val="28"/>
        </w:rPr>
      </w:pPr>
      <w:r>
        <w:rPr>
          <w:rFonts w:ascii="方正仿宋_GBK" w:eastAsia="方正仿宋_GBK"/>
          <w:sz w:val="28"/>
        </w:rPr>
        <w:t>严明政治纪律和政治规矩。聚焦解决习近平总书记指出的“七个有之”问题，坚决清除对党不忠诚不老实、阳奉阴违的两面人、两面派，坚决同危害党中央权威和集中统一领导的行为作斗争。</w:t>
      </w:r>
    </w:p>
    <w:p>
      <w:pPr>
        <w:spacing w:line="500" w:lineRule="exact"/>
        <w:ind w:firstLine="560"/>
        <w:rPr>
          <w:rFonts w:ascii="方正仿宋_GBK" w:eastAsia="方正仿宋_GBK"/>
          <w:sz w:val="28"/>
        </w:rPr>
      </w:pPr>
      <w:r>
        <w:rPr>
          <w:rFonts w:ascii="方正仿宋_GBK" w:eastAsia="方正仿宋_GBK"/>
          <w:sz w:val="28"/>
        </w:rPr>
        <w:t>净化党内政治生态。聚焦政治立场、政治原则、政治担当和政治纪律，强化监督执纪问责，不断强化“一把手”管党治党的责任意识、担当意识。</w:t>
      </w:r>
    </w:p>
    <w:p>
      <w:pPr>
        <w:spacing w:line="500" w:lineRule="exact"/>
        <w:ind w:firstLine="560"/>
        <w:rPr>
          <w:rFonts w:ascii="方正仿宋_GBK" w:eastAsia="方正仿宋_GBK"/>
          <w:sz w:val="28"/>
        </w:rPr>
      </w:pPr>
      <w:r>
        <w:rPr>
          <w:rFonts w:ascii="方正仿宋_GBK" w:eastAsia="方正仿宋_GBK"/>
          <w:sz w:val="28"/>
        </w:rPr>
        <w:t>要以钉钉子精神打好持久战。重点开展“五紧盯五严查”：紧盯形式主义、官僚主义，严查表态多调门高、行动少落实差等行为；紧盯享乐主义和奢靡之风，严查顶风违纪行为；紧盯不作为乱作为慢作为问题，严查吃拿卡要、以权谋私等行为；紧盯窗口单位、基层站所、“两委”干部漠视市场主体和群众利益问题，严查态度生硬、推诿扯皮等行为。</w:t>
      </w:r>
    </w:p>
    <w:p>
      <w:pPr>
        <w:spacing w:line="500" w:lineRule="exact"/>
        <w:ind w:firstLine="560"/>
        <w:rPr>
          <w:rFonts w:ascii="方正仿宋_GBK" w:eastAsia="方正仿宋_GBK"/>
          <w:sz w:val="28"/>
        </w:rPr>
      </w:pPr>
      <w:r>
        <w:rPr>
          <w:rFonts w:ascii="方正仿宋_GBK" w:eastAsia="方正仿宋_GBK"/>
          <w:sz w:val="28"/>
        </w:rPr>
        <w:t>要坚决反对特权思想和特权现象。党员领导干部要坚持以上率下，经常摆表现、找差距，带头转变作风；要严格家教家风，严格教育管理亲属和身边工作人员，形成“头雁效应”。加强对办公用房、公车管理、公务接待、会议文件、生活待遇、婚丧嫁娶等制度落实情况的监督检查，决不让特权行为滋长蔓延。</w:t>
      </w:r>
    </w:p>
    <w:p>
      <w:pPr>
        <w:spacing w:line="500" w:lineRule="exact"/>
        <w:ind w:firstLine="560"/>
        <w:rPr>
          <w:rFonts w:ascii="方正仿宋_GBK" w:eastAsia="方正仿宋_GBK"/>
          <w:sz w:val="28"/>
        </w:rPr>
      </w:pPr>
      <w:r>
        <w:rPr>
          <w:rFonts w:ascii="方正仿宋_GBK" w:eastAsia="方正仿宋_GBK"/>
          <w:sz w:val="28"/>
        </w:rPr>
        <w:t>要教育引导党员干部增强群众感情。督促党员干部经常回顾党史、重温入党誓词，树牢宗旨意识，切实做到尊重群众、贴近群众、凝聚群众、服务群众。完善密切联系群众相关制度，构建作风建设长效机制，教育引导党员干部自觉传承优良传统和作风，学习革命先辈的崇高精神和政治品质，牢记“两个务必”，真心诚意做好群众工作。</w:t>
      </w:r>
    </w:p>
    <w:p>
      <w:pPr>
        <w:spacing w:line="500" w:lineRule="exact"/>
        <w:ind w:firstLine="560"/>
        <w:rPr>
          <w:rFonts w:ascii="方正仿宋_GBK" w:eastAsia="方正仿宋_GBK"/>
          <w:sz w:val="28"/>
        </w:rPr>
      </w:pPr>
      <w:r>
        <w:rPr>
          <w:rFonts w:ascii="方正仿宋_GBK" w:eastAsia="方正仿宋_GBK"/>
          <w:sz w:val="28"/>
        </w:rPr>
        <w:t>要深化政治巡察。突出政治这个最高标准，重点检查贯彻落实党的十九大精神情况，检查党的领导、党的建设、全面从严治党情况，检查落实党中央和省、市重大决策部署，完成区委重点工作情况，检查遵守党规党纪，执行中央八项规定精神，纠正“四风”情况。</w:t>
      </w:r>
    </w:p>
    <w:p>
      <w:pPr>
        <w:spacing w:line="500" w:lineRule="exact"/>
        <w:ind w:firstLine="560"/>
        <w:rPr>
          <w:rFonts w:ascii="方正仿宋_GBK" w:eastAsia="方正仿宋_GBK"/>
          <w:sz w:val="28"/>
        </w:rPr>
      </w:pPr>
      <w:r>
        <w:rPr>
          <w:rFonts w:ascii="方正仿宋_GBK" w:eastAsia="方正仿宋_GBK"/>
          <w:sz w:val="28"/>
        </w:rPr>
        <w:t>要提升巡察质量。把问题导向贯穿巡察全过程，善于发现问题，如实报告问题，推动解决问题。把所有党政机关和事业单位全部纳入巡察监督范围，实现巡察无死角、监督无例外。到今年底完成五年规划全覆盖任务的50%。建立我区巡察人才库，实现常规巡察、专项巡察、机动巡察、巡察“回头看”常态化。</w:t>
      </w:r>
    </w:p>
    <w:p>
      <w:pPr>
        <w:spacing w:line="500" w:lineRule="exact"/>
        <w:ind w:firstLine="560"/>
        <w:rPr>
          <w:rFonts w:ascii="方正仿宋_GBK" w:eastAsia="方正仿宋_GBK"/>
          <w:sz w:val="28"/>
        </w:rPr>
      </w:pPr>
      <w:r>
        <w:rPr>
          <w:rFonts w:ascii="方正仿宋_GBK" w:eastAsia="方正仿宋_GBK"/>
          <w:sz w:val="28"/>
        </w:rPr>
        <w:t>要巩固巡察成果。对开展巡察的乡镇、区直部门，健全整改督查制度，督促分类处置，狠抓整改落实，确保条条有整改、件件有着落。强化整改问责，对整改走过场、搞应付的，除追究主管领导责任外，还要对乡镇、部门主要领导进行问责。</w:t>
      </w:r>
    </w:p>
    <w:p>
      <w:pPr>
        <w:spacing w:line="500" w:lineRule="exact"/>
        <w:ind w:firstLine="560"/>
        <w:rPr>
          <w:rFonts w:ascii="方正仿宋_GBK" w:eastAsia="方正仿宋_GBK"/>
          <w:sz w:val="28"/>
        </w:rPr>
      </w:pPr>
      <w:r>
        <w:rPr>
          <w:rFonts w:ascii="方正仿宋_GBK" w:eastAsia="方正仿宋_GBK"/>
          <w:sz w:val="28"/>
        </w:rPr>
        <w:t>抓好正反两方面纪律教育。要加强正面引导，把党章党规党纪特别是新形势下党内政治生活若干准则、党内监督条例、纪律处分条例、问责条例。</w:t>
      </w:r>
    </w:p>
    <w:p>
      <w:pPr>
        <w:spacing w:line="500" w:lineRule="exact"/>
        <w:ind w:firstLine="560"/>
        <w:rPr>
          <w:rFonts w:ascii="方正仿宋_GBK" w:eastAsia="方正仿宋_GBK"/>
          <w:sz w:val="28"/>
        </w:rPr>
      </w:pPr>
      <w:r>
        <w:rPr>
          <w:rFonts w:ascii="方正仿宋_GBK" w:eastAsia="方正仿宋_GBK"/>
          <w:sz w:val="28"/>
        </w:rPr>
        <w:t>处理好“森林”和“树木”的关系。“四种形态”即经常开展批评与自我批评、约谈函询，让“红红脸、出出汗”成为常态。</w:t>
      </w:r>
    </w:p>
    <w:p>
      <w:pPr>
        <w:spacing w:line="500" w:lineRule="exact"/>
        <w:ind w:firstLine="560"/>
        <w:rPr>
          <w:rFonts w:hint="eastAsia" w:ascii="宋体" w:hAnsi="宋体"/>
          <w:sz w:val="36"/>
          <w:szCs w:val="36"/>
        </w:rPr>
        <w:sectPr>
          <w:pgSz w:w="16839" w:h="11907" w:orient="landscape"/>
          <w:pgMar w:top="1020" w:right="1361" w:bottom="1020" w:left="1361" w:header="851" w:footer="992" w:gutter="0"/>
          <w:cols w:space="720" w:num="1"/>
          <w:docGrid w:type="lines" w:linePitch="312" w:charSpace="0"/>
        </w:sectPr>
      </w:pPr>
      <w:r>
        <w:rPr>
          <w:rFonts w:ascii="方正仿宋_GBK" w:eastAsia="方正仿宋_GBK"/>
          <w:sz w:val="28"/>
        </w:rPr>
        <w:t>使纪律始终成为带电的“高压线”。加强日常监督执纪，重点强化政治纪律和组织纪律，带动廉洁纪律、群众纪律、工作纪律、生活纪律严起来，发现苗头就及时提醒纠正，触犯纪律就立即严肃处理，做到真管真严、敢管敢严、长管长严。</w:t>
      </w:r>
    </w:p>
    <w:p>
      <w:pPr>
        <w:spacing w:before="0" w:after="0" w:line="240" w:lineRule="auto"/>
        <w:ind w:firstLine="640"/>
        <w:jc w:val="left"/>
        <w:outlineLvl w:val="9"/>
      </w:pP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中国共产党石家庄市藁城区纪律检查委员会本级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w:t>
      </w:r>
      <w:r>
        <w:rPr>
          <w:rFonts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年预算收入</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万元，基金预算收入0万元，财政专户核拨收入0万元，其他来源收入0万元。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w:t>
      </w:r>
      <w:r>
        <w:rPr>
          <w:rFonts w:ascii="Times New Roman" w:hAnsi="Times New Roman" w:eastAsia="方正仿宋_GBK" w:cs="Times New Roman"/>
          <w:color w:val="000000"/>
          <w:sz w:val="28"/>
        </w:rPr>
        <w:t>支出说明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收支预算总表支出栏、基本支出表、项目支出表按经济分类和支出功能分类科目编制，反映中国共产党石家庄市藁城区纪律检查委员会预算中支出预算的总体情况。</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年部门支出预算为</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1482.78</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1325.16</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157.63</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539</w:t>
      </w:r>
      <w:r>
        <w:rPr>
          <w:rFonts w:hint="eastAsia" w:ascii="Times New Roman" w:hAnsi="Times New Roman" w:eastAsia="方正仿宋_GBK" w:cs="Times New Roman"/>
          <w:color w:val="000000"/>
          <w:sz w:val="28"/>
        </w:rPr>
        <w:t>万元，主要为</w:t>
      </w:r>
      <w:r>
        <w:rPr>
          <w:rFonts w:hint="eastAsia" w:ascii="Times New Roman" w:hAnsi="Times New Roman" w:eastAsia="方正仿宋_GBK" w:cs="Times New Roman"/>
          <w:color w:val="000000"/>
          <w:sz w:val="28"/>
          <w:lang w:eastAsia="zh-CN"/>
        </w:rPr>
        <w:t>大案要案查处</w:t>
      </w:r>
      <w:r>
        <w:rPr>
          <w:rFonts w:hint="eastAsia" w:eastAsia="方正仿宋_GBK" w:cs="Times New Roman"/>
          <w:color w:val="000000"/>
          <w:sz w:val="28"/>
          <w:lang w:val="en-US" w:eastAsia="zh-CN"/>
        </w:rPr>
        <w:t>199.8</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eastAsia="zh-CN"/>
        </w:rPr>
        <w:t>一般行政管理</w:t>
      </w:r>
      <w:r>
        <w:rPr>
          <w:rFonts w:hint="eastAsia" w:eastAsia="方正仿宋_GBK" w:cs="Times New Roman"/>
          <w:color w:val="000000"/>
          <w:sz w:val="28"/>
          <w:lang w:val="en-US" w:eastAsia="zh-CN"/>
        </w:rPr>
        <w:t>339.2</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其他支出0万元。</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w:t>
      </w:r>
      <w:r>
        <w:rPr>
          <w:rFonts w:ascii="Times New Roman" w:hAnsi="Times New Roman" w:eastAsia="方正仿宋_GBK" w:cs="Times New Roman"/>
          <w:color w:val="000000"/>
          <w:sz w:val="28"/>
        </w:rPr>
        <w:t>比上年增减情况</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rPr>
        <w:t>年部门预算收支安排</w:t>
      </w:r>
      <w:r>
        <w:rPr>
          <w:rFonts w:hint="eastAsia" w:eastAsia="方正仿宋_GBK" w:cs="Times New Roman"/>
          <w:color w:val="000000"/>
          <w:sz w:val="28"/>
          <w:lang w:val="en-US" w:eastAsia="zh-CN"/>
        </w:rPr>
        <w:t>2021.78</w:t>
      </w:r>
      <w:r>
        <w:rPr>
          <w:rFonts w:hint="eastAsia" w:ascii="Times New Roman" w:hAnsi="Times New Roman" w:eastAsia="方正仿宋_GBK" w:cs="Times New Roman"/>
          <w:color w:val="000000"/>
          <w:sz w:val="28"/>
        </w:rPr>
        <w:t>万元，较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95.28</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46.08</w:t>
      </w:r>
      <w:r>
        <w:rPr>
          <w:rFonts w:hint="eastAsia" w:ascii="Times New Roman" w:hAnsi="Times New Roman" w:eastAsia="方正仿宋_GBK" w:cs="Times New Roman"/>
          <w:color w:val="000000"/>
          <w:sz w:val="28"/>
        </w:rPr>
        <w:t>万元，主要是人员</w:t>
      </w:r>
      <w:r>
        <w:rPr>
          <w:rFonts w:hint="eastAsia" w:eastAsia="方正仿宋_GBK" w:cs="Times New Roman"/>
          <w:color w:val="000000"/>
          <w:sz w:val="28"/>
          <w:lang w:eastAsia="zh-CN"/>
        </w:rPr>
        <w:t>工资提升增加</w:t>
      </w:r>
      <w:r>
        <w:rPr>
          <w:rFonts w:hint="eastAsia" w:ascii="Times New Roman" w:hAnsi="Times New Roman" w:eastAsia="方正仿宋_GBK" w:cs="Times New Roman"/>
          <w:color w:val="000000"/>
          <w:sz w:val="28"/>
        </w:rPr>
        <w:t>，相应</w:t>
      </w:r>
      <w:r>
        <w:rPr>
          <w:rFonts w:hint="eastAsia" w:eastAsia="方正仿宋_GBK" w:cs="Times New Roman"/>
          <w:color w:val="000000"/>
          <w:sz w:val="28"/>
          <w:lang w:eastAsia="zh-CN"/>
        </w:rPr>
        <w:t>增加</w:t>
      </w:r>
      <w:r>
        <w:rPr>
          <w:rFonts w:hint="eastAsia" w:ascii="Times New Roman" w:hAnsi="Times New Roman" w:eastAsia="方正仿宋_GBK" w:cs="Times New Roman"/>
          <w:color w:val="000000"/>
          <w:sz w:val="28"/>
        </w:rPr>
        <w:t>人员经费；项目支出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49.2</w:t>
      </w:r>
      <w:r>
        <w:rPr>
          <w:rFonts w:hint="eastAsia" w:ascii="Times New Roman" w:hAnsi="Times New Roman" w:eastAsia="方正仿宋_GBK" w:cs="Times New Roman"/>
          <w:color w:val="000000"/>
          <w:sz w:val="28"/>
        </w:rPr>
        <w:t>万元，主要是</w:t>
      </w:r>
      <w:r>
        <w:rPr>
          <w:rFonts w:hint="eastAsia" w:eastAsia="方正仿宋_GBK" w:cs="Times New Roman"/>
          <w:color w:val="000000"/>
          <w:sz w:val="28"/>
          <w:lang w:eastAsia="zh-CN"/>
        </w:rPr>
        <w:t>增加营商环境举报中心劳务派遣人员工资</w:t>
      </w:r>
      <w:r>
        <w:rPr>
          <w:rFonts w:hint="eastAsia" w:ascii="Times New Roman" w:hAnsi="Times New Roman" w:eastAsia="方正仿宋_GBK" w:cs="Times New Roman"/>
          <w:color w:val="000000"/>
          <w:sz w:val="28"/>
        </w:rPr>
        <w:t>。</w:t>
      </w:r>
    </w:p>
    <w:p>
      <w:pPr>
        <w:spacing w:before="0" w:after="0" w:line="500" w:lineRule="exact"/>
        <w:ind w:firstLine="560"/>
        <w:jc w:val="left"/>
        <w:outlineLvl w:val="9"/>
        <w:rPr>
          <w:rFonts w:ascii="Times New Roman" w:hAnsi="Times New Roman" w:eastAsia="方正仿宋_GBK" w:cs="Times New Roman"/>
          <w:color w:val="000000"/>
          <w:sz w:val="28"/>
        </w:rPr>
      </w:pPr>
    </w:p>
    <w:p>
      <w:pPr>
        <w:pStyle w:val="32"/>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autoSpaceDE w:val="0"/>
        <w:autoSpaceDN w:val="0"/>
        <w:adjustRightInd w:val="0"/>
        <w:ind w:firstLine="560" w:firstLineChars="200"/>
        <w:jc w:val="left"/>
        <w:rPr>
          <w:rFonts w:hint="eastAsia" w:eastAsia="方正仿宋_GBK" w:cs="Times New Roman"/>
          <w:color w:val="000000"/>
          <w:sz w:val="28"/>
          <w:lang w:eastAsia="zh-C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年，我部门机关运行经费共计安排</w:t>
      </w:r>
      <w:r>
        <w:rPr>
          <w:rFonts w:hint="eastAsia" w:eastAsia="方正仿宋_GBK" w:cs="Times New Roman"/>
          <w:color w:val="000000"/>
          <w:sz w:val="28"/>
          <w:lang w:val="en-US" w:eastAsia="zh-CN"/>
        </w:rPr>
        <w:t>157.63</w:t>
      </w:r>
      <w:r>
        <w:rPr>
          <w:rFonts w:hint="eastAsia" w:eastAsia="方正仿宋_GBK" w:cs="Times New Roman"/>
          <w:color w:val="000000"/>
          <w:sz w:val="28"/>
          <w:lang w:eastAsia="zh-CN"/>
        </w:rPr>
        <w:t>元，主要用于保证机关正常运转的办公及印刷费、福利费、公务车运行维护费等支出。</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numPr>
          <w:numId w:val="0"/>
        </w:numPr>
        <w:spacing w:before="10" w:after="10" w:line="240" w:lineRule="auto"/>
        <w:ind w:firstLine="560" w:firstLineChars="200"/>
        <w:jc w:val="left"/>
        <w:outlineLvl w:val="5"/>
        <w:rPr>
          <w:rFonts w:hint="eastAsia" w:eastAsia="仿宋"/>
          <w:lang w:eastAsia="zh-CN"/>
        </w:rPr>
      </w:pPr>
      <w:bookmarkStart w:id="19" w:name="_GoBack"/>
      <w:bookmarkEnd w:id="19"/>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年，我部门财政拨款“三公”经费预算安排</w:t>
      </w:r>
      <w:r>
        <w:rPr>
          <w:rFonts w:hint="eastAsia" w:eastAsia="方正仿宋_GBK" w:cs="Times New Roman"/>
          <w:color w:val="000000"/>
          <w:sz w:val="28"/>
          <w:lang w:val="en-US" w:eastAsia="zh-CN"/>
        </w:rPr>
        <w:t>24.2</w:t>
      </w:r>
      <w:r>
        <w:rPr>
          <w:rFonts w:hint="eastAsia" w:eastAsia="方正仿宋_GBK" w:cs="Times New Roman"/>
          <w:color w:val="000000"/>
          <w:sz w:val="28"/>
          <w:lang w:eastAsia="zh-CN"/>
        </w:rPr>
        <w:t>万元，其中：因公出国（境）费</w:t>
      </w:r>
      <w:r>
        <w:rPr>
          <w:rFonts w:hint="eastAsia" w:eastAsia="方正仿宋_GBK" w:cs="Times New Roman"/>
          <w:color w:val="000000"/>
          <w:sz w:val="28"/>
          <w:lang w:val="en-US" w:eastAsia="zh-CN"/>
        </w:rPr>
        <w:t>0</w:t>
      </w:r>
      <w:r>
        <w:rPr>
          <w:rFonts w:hint="eastAsia" w:eastAsia="方正仿宋_GBK" w:cs="Times New Roman"/>
          <w:color w:val="000000"/>
          <w:sz w:val="28"/>
          <w:lang w:eastAsia="zh-CN"/>
        </w:rPr>
        <w:t>万元；公务用车购置及运维费24</w:t>
      </w:r>
      <w:r>
        <w:rPr>
          <w:rFonts w:hint="eastAsia" w:eastAsia="方正仿宋_GBK" w:cs="Times New Roman"/>
          <w:color w:val="000000"/>
          <w:sz w:val="28"/>
          <w:lang w:val="en-US" w:eastAsia="zh-CN"/>
        </w:rPr>
        <w:t>.2</w:t>
      </w:r>
      <w:r>
        <w:rPr>
          <w:rFonts w:hint="eastAsia" w:eastAsia="方正仿宋_GBK" w:cs="Times New Roman"/>
          <w:color w:val="000000"/>
          <w:sz w:val="28"/>
          <w:lang w:eastAsia="zh-CN"/>
        </w:rPr>
        <w:t>万元（其中：公务用车购置费0万元，公务用车运行维护费</w:t>
      </w:r>
      <w:r>
        <w:rPr>
          <w:rFonts w:hint="eastAsia" w:eastAsia="方正仿宋_GBK" w:cs="Times New Roman"/>
          <w:color w:val="000000"/>
          <w:sz w:val="28"/>
          <w:lang w:val="en-US" w:eastAsia="zh-CN"/>
        </w:rPr>
        <w:t>24.2</w:t>
      </w:r>
      <w:r>
        <w:rPr>
          <w:rFonts w:hint="eastAsia" w:eastAsia="方正仿宋_GBK" w:cs="Times New Roman"/>
          <w:color w:val="000000"/>
          <w:sz w:val="28"/>
          <w:lang w:eastAsia="zh-CN"/>
        </w:rPr>
        <w:t>万元)；公务接待费</w:t>
      </w:r>
      <w:r>
        <w:rPr>
          <w:rFonts w:hint="eastAsia" w:eastAsia="方正仿宋_GBK" w:cs="Times New Roman"/>
          <w:color w:val="000000"/>
          <w:sz w:val="28"/>
          <w:lang w:val="en-US" w:eastAsia="zh-CN"/>
        </w:rPr>
        <w:t>0</w:t>
      </w:r>
      <w:r>
        <w:rPr>
          <w:rFonts w:hint="eastAsia" w:eastAsia="方正仿宋_GBK" w:cs="Times New Roman"/>
          <w:color w:val="000000"/>
          <w:sz w:val="28"/>
          <w:lang w:eastAsia="zh-CN"/>
        </w:rPr>
        <w:t>万元。“三公”经费与上年持平，无增减变化</w:t>
      </w:r>
      <w:r>
        <w:rPr>
          <w:rFonts w:hint="eastAsia" w:eastAsia="仿宋" w:cs="Times New Roman"/>
          <w:sz w:val="32"/>
          <w:szCs w:val="32"/>
          <w:lang w:eastAsia="zh-CN"/>
        </w:rPr>
        <w:t>。</w:t>
      </w:r>
    </w:p>
    <w:p>
      <w:pPr>
        <w:pStyle w:val="34"/>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五、预算绩效信息</w:t>
      </w:r>
    </w:p>
    <w:p>
      <w:pPr>
        <w:pStyle w:val="26"/>
        <w:spacing w:before="0" w:after="0"/>
        <w:ind w:firstLine="560"/>
        <w:jc w:val="left"/>
        <w:outlineLvl w:val="9"/>
      </w:pPr>
      <w:r>
        <w:rPr>
          <w:rFonts w:ascii="方正仿宋_GBK" w:hAnsi="方正仿宋_GBK" w:eastAsia="方正仿宋_GBK" w:cs="方正仿宋_GBK"/>
          <w:b/>
          <w:color w:val="000000"/>
          <w:sz w:val="28"/>
        </w:rPr>
        <w:t>1、办案专项经费绩效目标表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1.目标内容11.保障办案工作的正常进行。</w:t>
            </w:r>
          </w:p>
          <w:p>
            <w:pPr>
              <w:pStyle w:val="28"/>
            </w:pPr>
            <w:r>
              <w:t>2.提高办案的质量和效率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专项案件的结案率</w:t>
            </w:r>
          </w:p>
        </w:tc>
        <w:tc>
          <w:tcPr>
            <w:tcW w:w="2466" w:type="dxa"/>
            <w:vAlign w:val="center"/>
          </w:tcPr>
          <w:p>
            <w:pPr>
              <w:pStyle w:val="28"/>
            </w:pPr>
            <w:r>
              <w:t>接受的案件的完成率</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案件完成的质量</w:t>
            </w:r>
          </w:p>
        </w:tc>
        <w:tc>
          <w:tcPr>
            <w:tcW w:w="2466" w:type="dxa"/>
            <w:vAlign w:val="center"/>
          </w:tcPr>
          <w:p>
            <w:pPr>
              <w:pStyle w:val="28"/>
            </w:pPr>
            <w:r>
              <w:t>提高案件办理的质量和效率</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案件完成的及时率</w:t>
            </w:r>
          </w:p>
        </w:tc>
        <w:tc>
          <w:tcPr>
            <w:tcW w:w="2466" w:type="dxa"/>
            <w:vAlign w:val="center"/>
          </w:tcPr>
          <w:p>
            <w:pPr>
              <w:pStyle w:val="28"/>
            </w:pPr>
            <w:r>
              <w:t>在规定的时限内完成案件办理</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保证办案的同时，降低办案费</w:t>
            </w:r>
          </w:p>
        </w:tc>
        <w:tc>
          <w:tcPr>
            <w:tcW w:w="2466" w:type="dxa"/>
            <w:vAlign w:val="center"/>
          </w:tcPr>
          <w:p>
            <w:pPr>
              <w:pStyle w:val="28"/>
            </w:pPr>
            <w:r>
              <w:t>节约办公成本</w:t>
            </w:r>
          </w:p>
        </w:tc>
        <w:tc>
          <w:tcPr>
            <w:tcW w:w="2466" w:type="dxa"/>
            <w:vAlign w:val="center"/>
          </w:tcPr>
          <w:p>
            <w:pPr>
              <w:pStyle w:val="28"/>
            </w:pPr>
            <w:r>
              <w:t>≥90%</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处置案件的震慑作用</w:t>
            </w:r>
          </w:p>
        </w:tc>
        <w:tc>
          <w:tcPr>
            <w:tcW w:w="2466" w:type="dxa"/>
            <w:vAlign w:val="center"/>
          </w:tcPr>
          <w:p>
            <w:pPr>
              <w:pStyle w:val="28"/>
            </w:pPr>
            <w:r>
              <w:t>达到处置一案，警示一片</w:t>
            </w:r>
          </w:p>
        </w:tc>
        <w:tc>
          <w:tcPr>
            <w:tcW w:w="2466" w:type="dxa"/>
            <w:vAlign w:val="center"/>
          </w:tcPr>
          <w:p>
            <w:pPr>
              <w:pStyle w:val="28"/>
            </w:pPr>
            <w:r>
              <w:t>达到处置一案，警示一片</w:t>
            </w:r>
          </w:p>
        </w:tc>
        <w:tc>
          <w:tcPr>
            <w:tcW w:w="2466" w:type="dxa"/>
            <w:vAlign w:val="center"/>
          </w:tcPr>
          <w:p>
            <w:pPr>
              <w:pStyle w:val="28"/>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请示</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2、大要案专项工作经费绩效目标表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1.保障大要案工作的正常进行。</w:t>
            </w:r>
          </w:p>
          <w:p>
            <w:pPr>
              <w:pStyle w:val="28"/>
            </w:pPr>
            <w:r>
              <w:t>2.提高办案的质量和效率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大案要案查处率</w:t>
            </w:r>
          </w:p>
        </w:tc>
        <w:tc>
          <w:tcPr>
            <w:tcW w:w="2466" w:type="dxa"/>
            <w:vAlign w:val="center"/>
          </w:tcPr>
          <w:p>
            <w:pPr>
              <w:pStyle w:val="28"/>
            </w:pPr>
            <w:r>
              <w:t>接受的案件的完成率</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案件完成的质量</w:t>
            </w:r>
          </w:p>
        </w:tc>
        <w:tc>
          <w:tcPr>
            <w:tcW w:w="2466" w:type="dxa"/>
            <w:vAlign w:val="center"/>
          </w:tcPr>
          <w:p>
            <w:pPr>
              <w:pStyle w:val="28"/>
            </w:pPr>
            <w:r>
              <w:t>提高案件办理的质量和效率</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案件完成的及时率</w:t>
            </w:r>
          </w:p>
        </w:tc>
        <w:tc>
          <w:tcPr>
            <w:tcW w:w="2466" w:type="dxa"/>
            <w:vAlign w:val="center"/>
          </w:tcPr>
          <w:p>
            <w:pPr>
              <w:pStyle w:val="28"/>
            </w:pPr>
            <w:r>
              <w:t>在规定的时限内完成案件办理</w:t>
            </w:r>
          </w:p>
        </w:tc>
        <w:tc>
          <w:tcPr>
            <w:tcW w:w="2466" w:type="dxa"/>
            <w:vAlign w:val="center"/>
          </w:tcPr>
          <w:p>
            <w:pPr>
              <w:pStyle w:val="28"/>
            </w:pPr>
            <w:r>
              <w:t>≥90%</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保证办案的同时，降低办案费</w:t>
            </w:r>
          </w:p>
        </w:tc>
        <w:tc>
          <w:tcPr>
            <w:tcW w:w="2466" w:type="dxa"/>
            <w:vAlign w:val="center"/>
          </w:tcPr>
          <w:p>
            <w:pPr>
              <w:pStyle w:val="28"/>
            </w:pPr>
            <w:r>
              <w:t>节约办公成本</w:t>
            </w:r>
          </w:p>
        </w:tc>
        <w:tc>
          <w:tcPr>
            <w:tcW w:w="2466" w:type="dxa"/>
            <w:vAlign w:val="center"/>
          </w:tcPr>
          <w:p>
            <w:pPr>
              <w:pStyle w:val="28"/>
            </w:pPr>
            <w:r>
              <w:t>节约办公成本</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处置案件的震慑作用</w:t>
            </w:r>
          </w:p>
        </w:tc>
        <w:tc>
          <w:tcPr>
            <w:tcW w:w="2466" w:type="dxa"/>
            <w:vAlign w:val="center"/>
          </w:tcPr>
          <w:p>
            <w:pPr>
              <w:pStyle w:val="28"/>
            </w:pPr>
            <w:r>
              <w:t>处置一案，警示一片</w:t>
            </w:r>
          </w:p>
        </w:tc>
        <w:tc>
          <w:tcPr>
            <w:tcW w:w="2466" w:type="dxa"/>
            <w:vAlign w:val="center"/>
          </w:tcPr>
          <w:p>
            <w:pPr>
              <w:pStyle w:val="28"/>
            </w:pPr>
            <w:r>
              <w:t>处置一案，警示一片</w:t>
            </w:r>
          </w:p>
        </w:tc>
        <w:tc>
          <w:tcPr>
            <w:tcW w:w="2466" w:type="dxa"/>
            <w:vAlign w:val="center"/>
          </w:tcPr>
          <w:p>
            <w:pPr>
              <w:pStyle w:val="28"/>
            </w:pPr>
            <w:r>
              <w:t>上级安排申请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上级安排申请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3、机关服务物业管理经费绩效目标表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1.目标内容1.保障办公场所的安全和卫生。</w:t>
            </w:r>
          </w:p>
          <w:p>
            <w:pPr>
              <w:pStyle w:val="28"/>
            </w:pPr>
            <w:r>
              <w:t>2.提高机关人员的工作热情。</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服务机关办公面积</w:t>
            </w:r>
          </w:p>
        </w:tc>
        <w:tc>
          <w:tcPr>
            <w:tcW w:w="2466" w:type="dxa"/>
            <w:vAlign w:val="center"/>
          </w:tcPr>
          <w:p>
            <w:pPr>
              <w:pStyle w:val="28"/>
            </w:pPr>
            <w:r>
              <w:t>保障所有人员有一个安全、干净、舒适的工作环境</w:t>
            </w:r>
          </w:p>
        </w:tc>
        <w:tc>
          <w:tcPr>
            <w:tcW w:w="2466" w:type="dxa"/>
            <w:vAlign w:val="center"/>
          </w:tcPr>
          <w:p>
            <w:pPr>
              <w:pStyle w:val="28"/>
            </w:pPr>
            <w:r>
              <w:t>3600平方米</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提升单位的安全系数和环境卫生</w:t>
            </w:r>
          </w:p>
        </w:tc>
        <w:tc>
          <w:tcPr>
            <w:tcW w:w="2466" w:type="dxa"/>
            <w:vAlign w:val="center"/>
          </w:tcPr>
          <w:p>
            <w:pPr>
              <w:pStyle w:val="28"/>
            </w:pPr>
            <w:r>
              <w:t>在舒适的办公环境下，提高工作效率</w:t>
            </w:r>
          </w:p>
        </w:tc>
        <w:tc>
          <w:tcPr>
            <w:tcW w:w="2466" w:type="dxa"/>
            <w:vAlign w:val="center"/>
          </w:tcPr>
          <w:p>
            <w:pPr>
              <w:pStyle w:val="28"/>
            </w:pPr>
            <w:r>
              <w:t>在舒适的办公环境下，提高工作效率</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相应服务及时到位</w:t>
            </w:r>
          </w:p>
        </w:tc>
        <w:tc>
          <w:tcPr>
            <w:tcW w:w="2466" w:type="dxa"/>
            <w:vAlign w:val="center"/>
          </w:tcPr>
          <w:p>
            <w:pPr>
              <w:pStyle w:val="28"/>
            </w:pPr>
            <w:r>
              <w:t>安保、保洁、修缮等服务按时到位</w:t>
            </w:r>
          </w:p>
        </w:tc>
        <w:tc>
          <w:tcPr>
            <w:tcW w:w="2466" w:type="dxa"/>
            <w:vAlign w:val="center"/>
          </w:tcPr>
          <w:p>
            <w:pPr>
              <w:pStyle w:val="28"/>
            </w:pPr>
            <w:r>
              <w:t>≥90%</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保证质量的前提下，降低费用</w:t>
            </w:r>
          </w:p>
        </w:tc>
        <w:tc>
          <w:tcPr>
            <w:tcW w:w="2466" w:type="dxa"/>
            <w:vAlign w:val="center"/>
          </w:tcPr>
          <w:p>
            <w:pPr>
              <w:pStyle w:val="28"/>
            </w:pPr>
            <w:r>
              <w:t>选择物美价廉的安保、保洁公司合作</w:t>
            </w:r>
          </w:p>
        </w:tc>
        <w:tc>
          <w:tcPr>
            <w:tcW w:w="2466" w:type="dxa"/>
            <w:vAlign w:val="center"/>
          </w:tcPr>
          <w:p>
            <w:pPr>
              <w:pStyle w:val="28"/>
            </w:pPr>
            <w:r>
              <w:t>选择物美价廉的安保、保洁公司合作</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提升机关单位的形象，保证机关正常运转</w:t>
            </w:r>
          </w:p>
        </w:tc>
        <w:tc>
          <w:tcPr>
            <w:tcW w:w="2466" w:type="dxa"/>
            <w:vAlign w:val="center"/>
          </w:tcPr>
          <w:p>
            <w:pPr>
              <w:pStyle w:val="28"/>
            </w:pPr>
            <w:r>
              <w:t>≥90%</w:t>
            </w:r>
          </w:p>
        </w:tc>
        <w:tc>
          <w:tcPr>
            <w:tcW w:w="2466" w:type="dxa"/>
            <w:vAlign w:val="center"/>
          </w:tcPr>
          <w:p>
            <w:pPr>
              <w:pStyle w:val="28"/>
            </w:pPr>
            <w:r>
              <w:t>安保协议、保洁协议、机关正常运行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群众满意度</w:t>
            </w:r>
          </w:p>
        </w:tc>
        <w:tc>
          <w:tcPr>
            <w:tcW w:w="2466" w:type="dxa"/>
            <w:vAlign w:val="center"/>
          </w:tcPr>
          <w:p>
            <w:pPr>
              <w:pStyle w:val="28"/>
            </w:pPr>
            <w:r>
              <w:t>群众满意数量占总数的比例。</w:t>
            </w:r>
          </w:p>
        </w:tc>
        <w:tc>
          <w:tcPr>
            <w:tcW w:w="2466" w:type="dxa"/>
            <w:vAlign w:val="center"/>
          </w:tcPr>
          <w:p>
            <w:pPr>
              <w:pStyle w:val="28"/>
            </w:pPr>
            <w:r>
              <w:t>≥90%</w:t>
            </w:r>
          </w:p>
        </w:tc>
        <w:tc>
          <w:tcPr>
            <w:tcW w:w="2466" w:type="dxa"/>
            <w:vAlign w:val="center"/>
          </w:tcPr>
          <w:p>
            <w:pPr>
              <w:pStyle w:val="28"/>
            </w:pPr>
            <w:r>
              <w:t>安保协议、保洁协议、机关正常运行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4、监察委办公场所水电费绩效目标表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1.目标内容1.按预算进度合理支出资金</w:t>
            </w:r>
          </w:p>
          <w:p>
            <w:pPr>
              <w:pStyle w:val="28"/>
            </w:pPr>
            <w:r>
              <w:t>2.保障日常工作正常进行</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办公楼的水电费</w:t>
            </w:r>
          </w:p>
        </w:tc>
        <w:tc>
          <w:tcPr>
            <w:tcW w:w="2466" w:type="dxa"/>
            <w:vAlign w:val="center"/>
          </w:tcPr>
          <w:p>
            <w:pPr>
              <w:pStyle w:val="28"/>
            </w:pPr>
            <w:r>
              <w:t>主要保障办公楼面积约3600平方米的中央空调的运转</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提高能源利用率</w:t>
            </w:r>
          </w:p>
        </w:tc>
        <w:tc>
          <w:tcPr>
            <w:tcW w:w="2466" w:type="dxa"/>
            <w:vAlign w:val="center"/>
          </w:tcPr>
          <w:p>
            <w:pPr>
              <w:pStyle w:val="28"/>
            </w:pPr>
            <w:r>
              <w:t>满足水电及网络电话正常使用率</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实现的及时率</w:t>
            </w:r>
          </w:p>
        </w:tc>
        <w:tc>
          <w:tcPr>
            <w:tcW w:w="2466" w:type="dxa"/>
            <w:vAlign w:val="center"/>
          </w:tcPr>
          <w:p>
            <w:pPr>
              <w:pStyle w:val="28"/>
            </w:pPr>
            <w:r>
              <w:t>水电网络、电话保障及时率</w:t>
            </w:r>
          </w:p>
        </w:tc>
        <w:tc>
          <w:tcPr>
            <w:tcW w:w="2466" w:type="dxa"/>
            <w:vAlign w:val="center"/>
          </w:tcPr>
          <w:p>
            <w:pPr>
              <w:pStyle w:val="28"/>
            </w:pPr>
            <w:r>
              <w:t>≥90%</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降低能源成本</w:t>
            </w:r>
          </w:p>
        </w:tc>
        <w:tc>
          <w:tcPr>
            <w:tcW w:w="2466" w:type="dxa"/>
            <w:vAlign w:val="center"/>
          </w:tcPr>
          <w:p>
            <w:pPr>
              <w:pStyle w:val="28"/>
            </w:pPr>
            <w:r>
              <w:t>在保障舒适的办公环境基础上，降低电费的支出</w:t>
            </w:r>
          </w:p>
        </w:tc>
        <w:tc>
          <w:tcPr>
            <w:tcW w:w="2466" w:type="dxa"/>
            <w:vAlign w:val="center"/>
          </w:tcPr>
          <w:p>
            <w:pPr>
              <w:pStyle w:val="28"/>
            </w:pPr>
            <w:r>
              <w:t>在保障舒适的办公环境基础上，降低电费的支出</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经济效益指标</w:t>
            </w:r>
          </w:p>
        </w:tc>
        <w:tc>
          <w:tcPr>
            <w:tcW w:w="2466" w:type="dxa"/>
            <w:vAlign w:val="center"/>
          </w:tcPr>
          <w:p>
            <w:pPr>
              <w:pStyle w:val="28"/>
            </w:pPr>
            <w:r>
              <w:t>节约能源</w:t>
            </w:r>
          </w:p>
        </w:tc>
        <w:tc>
          <w:tcPr>
            <w:tcW w:w="2466" w:type="dxa"/>
            <w:vAlign w:val="center"/>
          </w:tcPr>
          <w:p>
            <w:pPr>
              <w:pStyle w:val="28"/>
            </w:pPr>
            <w:r>
              <w:t>降低人均用能量</w:t>
            </w:r>
          </w:p>
        </w:tc>
        <w:tc>
          <w:tcPr>
            <w:tcW w:w="2466" w:type="dxa"/>
            <w:vAlign w:val="center"/>
          </w:tcPr>
          <w:p>
            <w:pPr>
              <w:pStyle w:val="28"/>
            </w:pPr>
            <w:r>
              <w:t>降低人均用能量</w:t>
            </w:r>
          </w:p>
        </w:tc>
        <w:tc>
          <w:tcPr>
            <w:tcW w:w="2466" w:type="dxa"/>
            <w:vAlign w:val="center"/>
          </w:tcPr>
          <w:p>
            <w:pPr>
              <w:pStyle w:val="28"/>
            </w:pPr>
            <w: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申请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5、监察委办公场所租赁费绩效目标表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1.1、改善办公环境</w:t>
            </w:r>
          </w:p>
          <w:p>
            <w:pPr>
              <w:pStyle w:val="28"/>
            </w:pPr>
            <w:r>
              <w:t>2.提高工作效率</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房屋租赁面积</w:t>
            </w:r>
          </w:p>
        </w:tc>
        <w:tc>
          <w:tcPr>
            <w:tcW w:w="2466" w:type="dxa"/>
            <w:vAlign w:val="center"/>
          </w:tcPr>
          <w:p>
            <w:pPr>
              <w:pStyle w:val="28"/>
            </w:pPr>
            <w:r>
              <w:t>租金建筑面积</w:t>
            </w:r>
          </w:p>
        </w:tc>
        <w:tc>
          <w:tcPr>
            <w:tcW w:w="2466" w:type="dxa"/>
            <w:vAlign w:val="center"/>
          </w:tcPr>
          <w:p>
            <w:pPr>
              <w:pStyle w:val="28"/>
            </w:pPr>
            <w:r>
              <w:t>3600平</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办公人员的工作质量</w:t>
            </w:r>
          </w:p>
        </w:tc>
        <w:tc>
          <w:tcPr>
            <w:tcW w:w="2466" w:type="dxa"/>
            <w:vAlign w:val="center"/>
          </w:tcPr>
          <w:p>
            <w:pPr>
              <w:pStyle w:val="28"/>
            </w:pPr>
            <w:r>
              <w:t>满足日常办公及办案要求，提高工作效率</w:t>
            </w:r>
          </w:p>
        </w:tc>
        <w:tc>
          <w:tcPr>
            <w:tcW w:w="2466" w:type="dxa"/>
            <w:vAlign w:val="center"/>
          </w:tcPr>
          <w:p>
            <w:pPr>
              <w:pStyle w:val="28"/>
            </w:pPr>
            <w:r>
              <w:t>≥90%</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资金支付及时率</w:t>
            </w:r>
          </w:p>
        </w:tc>
        <w:tc>
          <w:tcPr>
            <w:tcW w:w="2466" w:type="dxa"/>
            <w:vAlign w:val="center"/>
          </w:tcPr>
          <w:p>
            <w:pPr>
              <w:pStyle w:val="28"/>
            </w:pPr>
            <w:r>
              <w:t>按时支付租金费</w:t>
            </w:r>
          </w:p>
        </w:tc>
        <w:tc>
          <w:tcPr>
            <w:tcW w:w="2466" w:type="dxa"/>
            <w:vAlign w:val="center"/>
          </w:tcPr>
          <w:p>
            <w:pPr>
              <w:pStyle w:val="28"/>
            </w:pPr>
            <w:r>
              <w:t>≥90%</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年租赁费</w:t>
            </w:r>
          </w:p>
        </w:tc>
        <w:tc>
          <w:tcPr>
            <w:tcW w:w="2466" w:type="dxa"/>
            <w:vAlign w:val="center"/>
          </w:tcPr>
          <w:p>
            <w:pPr>
              <w:pStyle w:val="28"/>
            </w:pPr>
            <w:r>
              <w:t>年租赁费</w:t>
            </w:r>
          </w:p>
        </w:tc>
        <w:tc>
          <w:tcPr>
            <w:tcW w:w="2466" w:type="dxa"/>
            <w:vAlign w:val="center"/>
          </w:tcPr>
          <w:p>
            <w:pPr>
              <w:pStyle w:val="28"/>
            </w:pPr>
            <w:r>
              <w:t>年租赁费</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社会影响力</w:t>
            </w:r>
          </w:p>
        </w:tc>
        <w:tc>
          <w:tcPr>
            <w:tcW w:w="2466" w:type="dxa"/>
            <w:vAlign w:val="center"/>
          </w:tcPr>
          <w:p>
            <w:pPr>
              <w:pStyle w:val="28"/>
            </w:pPr>
            <w:r>
              <w:t>提高办公及办案效率</w:t>
            </w:r>
          </w:p>
        </w:tc>
        <w:tc>
          <w:tcPr>
            <w:tcW w:w="2466" w:type="dxa"/>
            <w:vAlign w:val="center"/>
          </w:tcPr>
          <w:p>
            <w:pPr>
              <w:pStyle w:val="28"/>
            </w:pPr>
            <w:r>
              <w:t>提高办公及办案效率</w:t>
            </w:r>
          </w:p>
        </w:tc>
        <w:tc>
          <w:tcPr>
            <w:tcW w:w="2466" w:type="dxa"/>
            <w:vAlign w:val="center"/>
          </w:tcPr>
          <w:p>
            <w:pPr>
              <w:pStyle w:val="2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服务对象满意度</w:t>
            </w:r>
          </w:p>
        </w:tc>
        <w:tc>
          <w:tcPr>
            <w:tcW w:w="2466" w:type="dxa"/>
            <w:vAlign w:val="center"/>
          </w:tcPr>
          <w:p>
            <w:pPr>
              <w:pStyle w:val="28"/>
            </w:pPr>
            <w:r>
              <w:t>≥90%</w:t>
            </w:r>
          </w:p>
        </w:tc>
        <w:tc>
          <w:tcPr>
            <w:tcW w:w="2466" w:type="dxa"/>
            <w:vAlign w:val="center"/>
          </w:tcPr>
          <w:p>
            <w:pPr>
              <w:pStyle w:val="28"/>
            </w:pPr>
            <w:r>
              <w:t>租赁合同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6、乡镇纪委办案经费绩效目标表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1.目标内容1保障乡镇纪委工作的正常进行。健全乡镇纪委组织建设。</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藁城区14个乡镇纪全全覆盖</w:t>
            </w:r>
          </w:p>
        </w:tc>
        <w:tc>
          <w:tcPr>
            <w:tcW w:w="2466" w:type="dxa"/>
            <w:vAlign w:val="center"/>
          </w:tcPr>
          <w:p>
            <w:pPr>
              <w:pStyle w:val="28"/>
            </w:pPr>
            <w:r>
              <w:t>经费覆盖全区乡镇数</w:t>
            </w:r>
          </w:p>
        </w:tc>
        <w:tc>
          <w:tcPr>
            <w:tcW w:w="2466" w:type="dxa"/>
            <w:vAlign w:val="center"/>
          </w:tcPr>
          <w:p>
            <w:pPr>
              <w:pStyle w:val="28"/>
            </w:pPr>
            <w:r>
              <w:t>13个</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加强乡镇纪委组织建设</w:t>
            </w:r>
          </w:p>
        </w:tc>
        <w:tc>
          <w:tcPr>
            <w:tcW w:w="2466" w:type="dxa"/>
            <w:vAlign w:val="center"/>
          </w:tcPr>
          <w:p>
            <w:pPr>
              <w:pStyle w:val="28"/>
            </w:pPr>
            <w:r>
              <w:t>办案经费满足乡镇纪委人员办案工作，推动案件解决</w:t>
            </w:r>
          </w:p>
        </w:tc>
        <w:tc>
          <w:tcPr>
            <w:tcW w:w="2466" w:type="dxa"/>
            <w:vAlign w:val="center"/>
          </w:tcPr>
          <w:p>
            <w:pPr>
              <w:pStyle w:val="28"/>
            </w:pPr>
            <w:r>
              <w:t>办案经费满足乡镇纪委人员办案工作，推动案件解决</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提高乡镇纪委工作的时效性</w:t>
            </w:r>
          </w:p>
        </w:tc>
        <w:tc>
          <w:tcPr>
            <w:tcW w:w="2466" w:type="dxa"/>
            <w:vAlign w:val="center"/>
          </w:tcPr>
          <w:p>
            <w:pPr>
              <w:pStyle w:val="28"/>
            </w:pPr>
            <w:r>
              <w:t>办案经费及时发放率</w:t>
            </w:r>
          </w:p>
        </w:tc>
        <w:tc>
          <w:tcPr>
            <w:tcW w:w="2466" w:type="dxa"/>
            <w:vAlign w:val="center"/>
          </w:tcPr>
          <w:p>
            <w:pPr>
              <w:pStyle w:val="28"/>
            </w:pPr>
            <w:r>
              <w:t>≥90%</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成本控制</w:t>
            </w:r>
          </w:p>
        </w:tc>
        <w:tc>
          <w:tcPr>
            <w:tcW w:w="2466" w:type="dxa"/>
            <w:vAlign w:val="center"/>
          </w:tcPr>
          <w:p>
            <w:pPr>
              <w:pStyle w:val="28"/>
            </w:pPr>
            <w:r>
              <w:t>相关经费在满足办案的同时，力求节约，按标准执行</w:t>
            </w:r>
          </w:p>
        </w:tc>
        <w:tc>
          <w:tcPr>
            <w:tcW w:w="2466" w:type="dxa"/>
            <w:vAlign w:val="center"/>
          </w:tcPr>
          <w:p>
            <w:pPr>
              <w:pStyle w:val="28"/>
            </w:pPr>
            <w:r>
              <w:t>相关经费在满足办案的同时，力求节约，按标准执行</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通过专项经费，推动解决群众身边的问题</w:t>
            </w:r>
          </w:p>
        </w:tc>
        <w:tc>
          <w:tcPr>
            <w:tcW w:w="2466" w:type="dxa"/>
            <w:vAlign w:val="center"/>
          </w:tcPr>
          <w:p>
            <w:pPr>
              <w:pStyle w:val="28"/>
            </w:pPr>
            <w:r>
              <w:t>≥90%</w:t>
            </w:r>
          </w:p>
        </w:tc>
        <w:tc>
          <w:tcPr>
            <w:tcW w:w="2466" w:type="dxa"/>
            <w:vAlign w:val="center"/>
          </w:tcPr>
          <w:p>
            <w:pPr>
              <w:pStyle w:val="28"/>
            </w:pPr>
            <w:r>
              <w:t>藁纪【2018】9号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服务对象满意度指标</w:t>
            </w:r>
          </w:p>
        </w:tc>
        <w:tc>
          <w:tcPr>
            <w:tcW w:w="2466" w:type="dxa"/>
            <w:vAlign w:val="center"/>
          </w:tcPr>
          <w:p>
            <w:pPr>
              <w:pStyle w:val="28"/>
            </w:pPr>
            <w:r>
              <w:t>服务对象满意度指标</w:t>
            </w:r>
          </w:p>
        </w:tc>
        <w:tc>
          <w:tcPr>
            <w:tcW w:w="2466" w:type="dxa"/>
            <w:vAlign w:val="center"/>
          </w:tcPr>
          <w:p>
            <w:pPr>
              <w:pStyle w:val="28"/>
            </w:pPr>
            <w:r>
              <w:t>≥90%</w:t>
            </w:r>
          </w:p>
        </w:tc>
        <w:tc>
          <w:tcPr>
            <w:tcW w:w="2466" w:type="dxa"/>
            <w:vAlign w:val="center"/>
          </w:tcPr>
          <w:p>
            <w:pPr>
              <w:pStyle w:val="28"/>
            </w:pPr>
            <w:r>
              <w:t>藁纪【2018】9号</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7、营商环境举报中心劳务派遣人员工资绩效目标表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1.目标内容1管好用好劳务派遣人员，提高劳务派遣人员工作能力和综合素质，顺利完成营商环境举报中心的各项工作任务</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工资发放给劳务派遣人员足额率</w:t>
            </w:r>
          </w:p>
        </w:tc>
        <w:tc>
          <w:tcPr>
            <w:tcW w:w="2466" w:type="dxa"/>
            <w:vAlign w:val="center"/>
          </w:tcPr>
          <w:p>
            <w:pPr>
              <w:pStyle w:val="28"/>
            </w:pPr>
            <w:r>
              <w:t>工资发放给劳务派遣人员足额率</w:t>
            </w:r>
          </w:p>
        </w:tc>
        <w:tc>
          <w:tcPr>
            <w:tcW w:w="2466" w:type="dxa"/>
            <w:vAlign w:val="center"/>
          </w:tcPr>
          <w:p>
            <w:pPr>
              <w:pStyle w:val="28"/>
            </w:pPr>
            <w:r>
              <w:t>100%</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缴纳社保及时率</w:t>
            </w:r>
          </w:p>
        </w:tc>
        <w:tc>
          <w:tcPr>
            <w:tcW w:w="2466" w:type="dxa"/>
            <w:vAlign w:val="center"/>
          </w:tcPr>
          <w:p>
            <w:pPr>
              <w:pStyle w:val="28"/>
            </w:pPr>
            <w:r>
              <w:t>为创建办人员及时缴纳各项社保</w:t>
            </w:r>
          </w:p>
        </w:tc>
        <w:tc>
          <w:tcPr>
            <w:tcW w:w="2466" w:type="dxa"/>
            <w:vAlign w:val="center"/>
          </w:tcPr>
          <w:p>
            <w:pPr>
              <w:pStyle w:val="28"/>
            </w:pPr>
            <w:r>
              <w:t>≥90%</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工资发放及时率</w:t>
            </w:r>
          </w:p>
        </w:tc>
        <w:tc>
          <w:tcPr>
            <w:tcW w:w="2466" w:type="dxa"/>
            <w:vAlign w:val="center"/>
          </w:tcPr>
          <w:p>
            <w:pPr>
              <w:pStyle w:val="28"/>
            </w:pPr>
            <w:r>
              <w:t>工资发放及时率</w:t>
            </w:r>
          </w:p>
        </w:tc>
        <w:tc>
          <w:tcPr>
            <w:tcW w:w="2466" w:type="dxa"/>
            <w:vAlign w:val="center"/>
          </w:tcPr>
          <w:p>
            <w:pPr>
              <w:pStyle w:val="28"/>
            </w:pPr>
            <w:r>
              <w:t>按时发放</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工资社保费用</w:t>
            </w:r>
          </w:p>
        </w:tc>
        <w:tc>
          <w:tcPr>
            <w:tcW w:w="2466" w:type="dxa"/>
            <w:vAlign w:val="center"/>
          </w:tcPr>
          <w:p>
            <w:pPr>
              <w:pStyle w:val="28"/>
            </w:pPr>
            <w:r>
              <w:t>工资社保费用</w:t>
            </w:r>
          </w:p>
        </w:tc>
        <w:tc>
          <w:tcPr>
            <w:tcW w:w="2466" w:type="dxa"/>
            <w:vAlign w:val="center"/>
          </w:tcPr>
          <w:p>
            <w:pPr>
              <w:pStyle w:val="28"/>
            </w:pPr>
            <w:r>
              <w:t>按规定执行</w:t>
            </w:r>
          </w:p>
        </w:tc>
        <w:tc>
          <w:tcPr>
            <w:tcW w:w="2466" w:type="dxa"/>
            <w:vAlign w:val="center"/>
          </w:tcPr>
          <w:p>
            <w:pPr>
              <w:pStyle w:val="28"/>
            </w:pPr>
            <w:r>
              <w:t>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创建办劳务派遣人员工作积极性的提升程度</w:t>
            </w:r>
          </w:p>
        </w:tc>
        <w:tc>
          <w:tcPr>
            <w:tcW w:w="2466" w:type="dxa"/>
            <w:vAlign w:val="center"/>
          </w:tcPr>
          <w:p>
            <w:pPr>
              <w:pStyle w:val="28"/>
            </w:pPr>
            <w:r>
              <w:t>创建办劳务派遣人员工作积极性的提升程度</w:t>
            </w:r>
          </w:p>
        </w:tc>
        <w:tc>
          <w:tcPr>
            <w:tcW w:w="2466" w:type="dxa"/>
            <w:vAlign w:val="center"/>
          </w:tcPr>
          <w:p>
            <w:pPr>
              <w:pStyle w:val="28"/>
            </w:pPr>
            <w:r>
              <w:t>普遍提升</w:t>
            </w:r>
          </w:p>
        </w:tc>
        <w:tc>
          <w:tcPr>
            <w:tcW w:w="2466" w:type="dxa"/>
            <w:vAlign w:val="center"/>
          </w:tcPr>
          <w:p>
            <w:pPr>
              <w:pStyle w:val="2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创建办人员满意度</w:t>
            </w:r>
          </w:p>
        </w:tc>
        <w:tc>
          <w:tcPr>
            <w:tcW w:w="2466" w:type="dxa"/>
            <w:vAlign w:val="center"/>
          </w:tcPr>
          <w:p>
            <w:pPr>
              <w:pStyle w:val="28"/>
            </w:pPr>
            <w:r>
              <w:t>创建办人员满意度</w:t>
            </w:r>
          </w:p>
        </w:tc>
        <w:tc>
          <w:tcPr>
            <w:tcW w:w="2466" w:type="dxa"/>
            <w:vAlign w:val="center"/>
          </w:tcPr>
          <w:p>
            <w:pPr>
              <w:pStyle w:val="28"/>
            </w:pPr>
            <w:r>
              <w:t>≥90%</w:t>
            </w:r>
          </w:p>
        </w:tc>
        <w:tc>
          <w:tcPr>
            <w:tcW w:w="2466" w:type="dxa"/>
            <w:vAlign w:val="center"/>
          </w:tcPr>
          <w:p>
            <w:pPr>
              <w:pStyle w:val="28"/>
            </w:pPr>
            <w:r>
              <w:t>历年经验</w:t>
            </w:r>
          </w:p>
        </w:tc>
      </w:tr>
    </w:tbl>
    <w:p>
      <w:pPr>
        <w:pStyle w:val="26"/>
      </w:pPr>
    </w:p>
    <w:p>
      <w:pPr>
        <w:pStyle w:val="26"/>
        <w:spacing w:before="0" w:after="0"/>
        <w:ind w:firstLine="560"/>
        <w:jc w:val="left"/>
        <w:outlineLvl w:val="9"/>
      </w:pPr>
      <w:r>
        <w:rPr>
          <w:rFonts w:ascii="方正仿宋_GBK" w:hAnsi="方正仿宋_GBK" w:eastAsia="方正仿宋_GBK" w:cs="方正仿宋_GBK"/>
          <w:b/>
          <w:color w:val="000000"/>
          <w:sz w:val="28"/>
        </w:rPr>
        <w:t>8、纪委监委信息系统建设绩效目标表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27"/>
            </w:pPr>
            <w:r>
              <w:t>绩效目标</w:t>
            </w:r>
          </w:p>
        </w:tc>
        <w:tc>
          <w:tcPr>
            <w:tcW w:w="7399" w:type="dxa"/>
            <w:tcBorders>
              <w:bottom w:val="single" w:color="FFFFFF" w:sz="6" w:space="0"/>
            </w:tcBorders>
            <w:vAlign w:val="center"/>
          </w:tcPr>
          <w:p>
            <w:pPr>
              <w:pStyle w:val="28"/>
            </w:pPr>
            <w:r>
              <w:t>1.主要推进新时代纪检监察信息化建设，加强网络安全保密体系建设，确保信息资源查询等数据运用全程留痕严格监督</w:t>
            </w:r>
          </w:p>
        </w:tc>
      </w:tr>
    </w:tbl>
    <w:p>
      <w:pPr>
        <w:pStyle w:val="26"/>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27"/>
            </w:pPr>
            <w:r>
              <w:t>一级指标</w:t>
            </w:r>
          </w:p>
        </w:tc>
        <w:tc>
          <w:tcPr>
            <w:tcW w:w="2466" w:type="dxa"/>
            <w:vAlign w:val="center"/>
          </w:tcPr>
          <w:p>
            <w:pPr>
              <w:pStyle w:val="27"/>
            </w:pPr>
            <w:r>
              <w:t>二级指标</w:t>
            </w:r>
          </w:p>
        </w:tc>
        <w:tc>
          <w:tcPr>
            <w:tcW w:w="2466" w:type="dxa"/>
            <w:vAlign w:val="center"/>
          </w:tcPr>
          <w:p>
            <w:pPr>
              <w:pStyle w:val="27"/>
            </w:pPr>
            <w:r>
              <w:t>三级指标</w:t>
            </w:r>
          </w:p>
        </w:tc>
        <w:tc>
          <w:tcPr>
            <w:tcW w:w="2466" w:type="dxa"/>
            <w:vAlign w:val="center"/>
          </w:tcPr>
          <w:p>
            <w:pPr>
              <w:pStyle w:val="27"/>
            </w:pPr>
            <w:r>
              <w:t>绩效指标描述</w:t>
            </w:r>
          </w:p>
        </w:tc>
        <w:tc>
          <w:tcPr>
            <w:tcW w:w="2466" w:type="dxa"/>
            <w:vAlign w:val="center"/>
          </w:tcPr>
          <w:p>
            <w:pPr>
              <w:pStyle w:val="27"/>
            </w:pPr>
            <w:r>
              <w:t>指标值</w:t>
            </w:r>
          </w:p>
        </w:tc>
        <w:tc>
          <w:tcPr>
            <w:tcW w:w="2466" w:type="dxa"/>
            <w:vAlign w:val="center"/>
          </w:tcPr>
          <w:p>
            <w:pPr>
              <w:pStyle w:val="2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29"/>
            </w:pPr>
            <w:r>
              <w:t>产出指标</w:t>
            </w:r>
          </w:p>
        </w:tc>
        <w:tc>
          <w:tcPr>
            <w:tcW w:w="2466" w:type="dxa"/>
            <w:vAlign w:val="center"/>
          </w:tcPr>
          <w:p>
            <w:pPr>
              <w:pStyle w:val="28"/>
            </w:pPr>
            <w:r>
              <w:t>数量指标</w:t>
            </w:r>
          </w:p>
        </w:tc>
        <w:tc>
          <w:tcPr>
            <w:tcW w:w="2466" w:type="dxa"/>
            <w:vAlign w:val="center"/>
          </w:tcPr>
          <w:p>
            <w:pPr>
              <w:pStyle w:val="28"/>
            </w:pPr>
            <w:r>
              <w:t>新时代纪检监察信息化建设</w:t>
            </w:r>
          </w:p>
        </w:tc>
        <w:tc>
          <w:tcPr>
            <w:tcW w:w="2466" w:type="dxa"/>
            <w:vAlign w:val="center"/>
          </w:tcPr>
          <w:p>
            <w:pPr>
              <w:pStyle w:val="28"/>
            </w:pPr>
            <w:r>
              <w:t>每个办案科室配备一套移动办案谈话设备</w:t>
            </w:r>
          </w:p>
        </w:tc>
        <w:tc>
          <w:tcPr>
            <w:tcW w:w="2466" w:type="dxa"/>
            <w:vAlign w:val="center"/>
          </w:tcPr>
          <w:p>
            <w:pPr>
              <w:pStyle w:val="28"/>
            </w:pPr>
            <w:r>
              <w:t>1套</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质量指标</w:t>
            </w:r>
          </w:p>
        </w:tc>
        <w:tc>
          <w:tcPr>
            <w:tcW w:w="2466" w:type="dxa"/>
            <w:vAlign w:val="center"/>
          </w:tcPr>
          <w:p>
            <w:pPr>
              <w:pStyle w:val="28"/>
            </w:pPr>
            <w:r>
              <w:t>高科技设备，能更有效的办案</w:t>
            </w:r>
          </w:p>
        </w:tc>
        <w:tc>
          <w:tcPr>
            <w:tcW w:w="2466" w:type="dxa"/>
            <w:vAlign w:val="center"/>
          </w:tcPr>
          <w:p>
            <w:pPr>
              <w:pStyle w:val="28"/>
            </w:pPr>
            <w:r>
              <w:t>使异地办案更方便、快捷、高效</w:t>
            </w:r>
          </w:p>
        </w:tc>
        <w:tc>
          <w:tcPr>
            <w:tcW w:w="2466" w:type="dxa"/>
            <w:vAlign w:val="center"/>
          </w:tcPr>
          <w:p>
            <w:pPr>
              <w:pStyle w:val="28"/>
            </w:pPr>
            <w:r>
              <w:t>高科技设备，能更有效的办案</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时效指标</w:t>
            </w:r>
          </w:p>
        </w:tc>
        <w:tc>
          <w:tcPr>
            <w:tcW w:w="2466" w:type="dxa"/>
            <w:vAlign w:val="center"/>
          </w:tcPr>
          <w:p>
            <w:pPr>
              <w:pStyle w:val="28"/>
            </w:pPr>
            <w:r>
              <w:t>处理案件更及时快捷</w:t>
            </w:r>
          </w:p>
        </w:tc>
        <w:tc>
          <w:tcPr>
            <w:tcW w:w="2466" w:type="dxa"/>
            <w:vAlign w:val="center"/>
          </w:tcPr>
          <w:p>
            <w:pPr>
              <w:pStyle w:val="28"/>
            </w:pPr>
            <w:r>
              <w:t>对接受的案件能迅速回应</w:t>
            </w:r>
          </w:p>
        </w:tc>
        <w:tc>
          <w:tcPr>
            <w:tcW w:w="2466" w:type="dxa"/>
            <w:vAlign w:val="center"/>
          </w:tcPr>
          <w:p>
            <w:pPr>
              <w:pStyle w:val="28"/>
            </w:pPr>
            <w:r>
              <w:t>处理案件更及时快捷</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pPr>
              <w:pStyle w:val="26"/>
            </w:pPr>
          </w:p>
        </w:tc>
        <w:tc>
          <w:tcPr>
            <w:tcW w:w="2466" w:type="dxa"/>
            <w:vAlign w:val="center"/>
          </w:tcPr>
          <w:p>
            <w:pPr>
              <w:pStyle w:val="28"/>
            </w:pPr>
            <w:r>
              <w:t>成本指标</w:t>
            </w:r>
          </w:p>
        </w:tc>
        <w:tc>
          <w:tcPr>
            <w:tcW w:w="2466" w:type="dxa"/>
            <w:vAlign w:val="center"/>
          </w:tcPr>
          <w:p>
            <w:pPr>
              <w:pStyle w:val="28"/>
            </w:pPr>
            <w:r>
              <w:t>加强对信息化工作人力财力的投入</w:t>
            </w:r>
          </w:p>
        </w:tc>
        <w:tc>
          <w:tcPr>
            <w:tcW w:w="2466" w:type="dxa"/>
            <w:vAlign w:val="center"/>
          </w:tcPr>
          <w:p>
            <w:pPr>
              <w:pStyle w:val="28"/>
            </w:pPr>
            <w:r>
              <w:t>系统研究集约建设避免浪费</w:t>
            </w:r>
          </w:p>
        </w:tc>
        <w:tc>
          <w:tcPr>
            <w:tcW w:w="2466" w:type="dxa"/>
            <w:vAlign w:val="center"/>
          </w:tcPr>
          <w:p>
            <w:pPr>
              <w:pStyle w:val="28"/>
            </w:pPr>
            <w:r>
              <w:t>≥90%</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效益指标</w:t>
            </w:r>
          </w:p>
        </w:tc>
        <w:tc>
          <w:tcPr>
            <w:tcW w:w="2466" w:type="dxa"/>
            <w:vAlign w:val="center"/>
          </w:tcPr>
          <w:p>
            <w:pPr>
              <w:pStyle w:val="28"/>
            </w:pPr>
            <w:r>
              <w:t>社会效益指标</w:t>
            </w:r>
          </w:p>
        </w:tc>
        <w:tc>
          <w:tcPr>
            <w:tcW w:w="2466" w:type="dxa"/>
            <w:vAlign w:val="center"/>
          </w:tcPr>
          <w:p>
            <w:pPr>
              <w:pStyle w:val="28"/>
            </w:pPr>
            <w:r>
              <w:t>社会效益明显</w:t>
            </w:r>
          </w:p>
        </w:tc>
        <w:tc>
          <w:tcPr>
            <w:tcW w:w="2466" w:type="dxa"/>
            <w:vAlign w:val="center"/>
          </w:tcPr>
          <w:p>
            <w:pPr>
              <w:pStyle w:val="28"/>
            </w:pPr>
            <w:r>
              <w:t>提升单位的知名度和影响力</w:t>
            </w:r>
          </w:p>
        </w:tc>
        <w:tc>
          <w:tcPr>
            <w:tcW w:w="2466" w:type="dxa"/>
            <w:vAlign w:val="center"/>
          </w:tcPr>
          <w:p>
            <w:pPr>
              <w:pStyle w:val="28"/>
            </w:pPr>
            <w:r>
              <w:t>≥90%</w:t>
            </w:r>
          </w:p>
        </w:tc>
        <w:tc>
          <w:tcPr>
            <w:tcW w:w="2466" w:type="dxa"/>
            <w:vAlign w:val="center"/>
          </w:tcPr>
          <w:p>
            <w:pPr>
              <w:pStyle w:val="28"/>
            </w:pPr>
            <w:r>
              <w:t>根据中纪委信息化工作规划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29"/>
            </w:pPr>
            <w:r>
              <w:t>满意度指标</w:t>
            </w:r>
          </w:p>
        </w:tc>
        <w:tc>
          <w:tcPr>
            <w:tcW w:w="2466" w:type="dxa"/>
            <w:vAlign w:val="center"/>
          </w:tcPr>
          <w:p>
            <w:pPr>
              <w:pStyle w:val="28"/>
            </w:pPr>
            <w:r>
              <w:t>服务对象满意度指标</w:t>
            </w:r>
          </w:p>
        </w:tc>
        <w:tc>
          <w:tcPr>
            <w:tcW w:w="2466" w:type="dxa"/>
            <w:vAlign w:val="center"/>
          </w:tcPr>
          <w:p>
            <w:pPr>
              <w:pStyle w:val="28"/>
            </w:pPr>
            <w:r>
              <w:t>服务对象满意度</w:t>
            </w:r>
          </w:p>
        </w:tc>
        <w:tc>
          <w:tcPr>
            <w:tcW w:w="2466" w:type="dxa"/>
            <w:vAlign w:val="center"/>
          </w:tcPr>
          <w:p>
            <w:pPr>
              <w:pStyle w:val="28"/>
            </w:pPr>
            <w:r>
              <w:t>通过加强基础设施建设，提升党校基础设施建设水平，提高满意度。</w:t>
            </w:r>
          </w:p>
        </w:tc>
        <w:tc>
          <w:tcPr>
            <w:tcW w:w="2466" w:type="dxa"/>
            <w:vAlign w:val="center"/>
          </w:tcPr>
          <w:p>
            <w:pPr>
              <w:pStyle w:val="28"/>
            </w:pPr>
            <w:r>
              <w:t>≥90%</w:t>
            </w:r>
          </w:p>
        </w:tc>
        <w:tc>
          <w:tcPr>
            <w:tcW w:w="2466" w:type="dxa"/>
            <w:vAlign w:val="center"/>
          </w:tcPr>
          <w:p>
            <w:pPr>
              <w:pStyle w:val="28"/>
            </w:pPr>
            <w:r>
              <w:t>根据中纪委信息化工作规划</w:t>
            </w:r>
          </w:p>
        </w:tc>
      </w:tr>
    </w:tbl>
    <w:p>
      <w:pPr>
        <w:pStyle w:val="26"/>
        <w:sectPr>
          <w:pgSz w:w="16840" w:h="11900" w:orient="landscape"/>
          <w:pgMar w:top="1361" w:right="1020" w:bottom="1361"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2022年，中国共产党石家庄市藁城区纪律检查委员会本级安排政府采购预算0.00万元。具体内容见下表。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中国共产党石家庄市藁城区纪律检查委员会本级上年末固定资产金额为</w:t>
      </w:r>
      <w:r>
        <w:rPr>
          <w:rFonts w:hint="eastAsia" w:eastAsia="方正仿宋_GBK" w:cs="Times New Roman"/>
          <w:b w:val="0"/>
          <w:color w:val="000000"/>
          <w:sz w:val="28"/>
          <w:lang w:val="en-US" w:eastAsia="zh-CN"/>
        </w:rPr>
        <w:t>353.370865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222001中国共产党石家庄市藁城区纪律检查委员会本级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center"/>
            </w:pPr>
            <w:r>
              <w:rPr>
                <w:rFonts w:ascii="Times New Roman" w:hAnsi="Times New Roman" w:eastAsia="仿宋" w:cs="Times New Roman"/>
                <w:kern w:val="0"/>
                <w:sz w:val="22"/>
              </w:rPr>
              <w:t>资产总额</w:t>
            </w:r>
          </w:p>
        </w:tc>
        <w:tc>
          <w:tcPr>
            <w:tcW w:w="4933" w:type="dxa"/>
            <w:vAlign w:val="center"/>
          </w:tcPr>
          <w:p>
            <w:pPr>
              <w:widowControl/>
              <w:jc w:val="center"/>
            </w:pPr>
            <w:r>
              <w:rPr>
                <w:rFonts w:ascii="Times New Roman" w:hAnsi="Times New Roman" w:eastAsia="仿宋" w:cs="Times New Roman"/>
                <w:kern w:val="0"/>
                <w:sz w:val="22"/>
              </w:rPr>
              <w:t>——</w:t>
            </w:r>
          </w:p>
        </w:tc>
        <w:tc>
          <w:tcPr>
            <w:tcW w:w="4933" w:type="dxa"/>
            <w:vAlign w:val="center"/>
          </w:tcPr>
          <w:p>
            <w:pPr>
              <w:widowControl/>
              <w:jc w:val="center"/>
            </w:pPr>
            <w:r>
              <w:rPr>
                <w:rFonts w:hint="eastAsia" w:ascii="Times New Roman" w:hAnsi="Times New Roman" w:eastAsia="仿宋" w:cs="Times New Roman"/>
                <w:color w:val="auto"/>
                <w:kern w:val="0"/>
                <w:sz w:val="22"/>
                <w:lang w:val="en-US" w:eastAsia="zh-CN"/>
              </w:rPr>
              <w:t>353.370865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Times New Roman" w:hAnsi="Times New Roman" w:eastAsia="仿宋" w:cs="Times New Roman"/>
                <w:kern w:val="0"/>
                <w:sz w:val="22"/>
              </w:rPr>
              <w:t>1、房屋（平方米）</w:t>
            </w:r>
          </w:p>
        </w:tc>
        <w:tc>
          <w:tcPr>
            <w:tcW w:w="4933" w:type="dxa"/>
            <w:vAlign w:val="center"/>
          </w:tcPr>
          <w:p>
            <w:pPr>
              <w:widowControl/>
              <w:jc w:val="center"/>
            </w:pPr>
          </w:p>
        </w:tc>
        <w:tc>
          <w:tcPr>
            <w:tcW w:w="4933" w:type="dxa"/>
            <w:vAlign w:val="center"/>
          </w:tcPr>
          <w:p>
            <w:pPr>
              <w:widowControl/>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Times New Roman" w:hAnsi="Times New Roman" w:eastAsia="仿宋" w:cs="Times New Roman"/>
                <w:kern w:val="0"/>
                <w:sz w:val="22"/>
              </w:rPr>
              <w:t>其中：办公用房（平方米）</w:t>
            </w:r>
          </w:p>
        </w:tc>
        <w:tc>
          <w:tcPr>
            <w:tcW w:w="4933" w:type="dxa"/>
            <w:vAlign w:val="center"/>
          </w:tcPr>
          <w:p>
            <w:pPr>
              <w:widowControl/>
              <w:jc w:val="center"/>
            </w:pP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Times New Roman" w:hAnsi="Times New Roman" w:eastAsia="仿宋" w:cs="Times New Roman"/>
                <w:kern w:val="0"/>
                <w:sz w:val="22"/>
              </w:rPr>
              <w:t>2、车辆（台、辆）</w:t>
            </w:r>
          </w:p>
        </w:tc>
        <w:tc>
          <w:tcPr>
            <w:tcW w:w="4933" w:type="dxa"/>
            <w:vAlign w:val="center"/>
          </w:tcPr>
          <w:p>
            <w:pPr>
              <w:widowControl/>
              <w:jc w:val="center"/>
            </w:pPr>
            <w:r>
              <w:rPr>
                <w:rFonts w:hint="eastAsia" w:ascii="Times New Roman" w:hAnsi="Times New Roman" w:eastAsia="仿宋" w:cs="Times New Roman"/>
                <w:kern w:val="0"/>
                <w:sz w:val="22"/>
                <w:lang w:val="en-US" w:eastAsia="zh-CN"/>
              </w:rPr>
              <w:t>11</w:t>
            </w:r>
          </w:p>
        </w:tc>
        <w:tc>
          <w:tcPr>
            <w:tcW w:w="4933" w:type="dxa"/>
            <w:vAlign w:val="center"/>
          </w:tcPr>
          <w:p>
            <w:pPr>
              <w:widowControl/>
              <w:jc w:val="center"/>
            </w:pPr>
            <w:r>
              <w:rPr>
                <w:rFonts w:hint="eastAsia" w:ascii="Times New Roman" w:hAnsi="Times New Roman" w:eastAsia="仿宋" w:cs="Times New Roman"/>
                <w:kern w:val="0"/>
                <w:sz w:val="22"/>
                <w:lang w:val="en-US" w:eastAsia="zh-CN"/>
              </w:rPr>
              <w:t>123.364872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Times New Roman" w:hAnsi="Times New Roman" w:eastAsia="仿宋" w:cs="Times New Roman"/>
                <w:kern w:val="0"/>
                <w:sz w:val="22"/>
              </w:rPr>
              <w:t>3、单价在20万元以上设备</w:t>
            </w:r>
          </w:p>
        </w:tc>
        <w:tc>
          <w:tcPr>
            <w:tcW w:w="4933" w:type="dxa"/>
            <w:vAlign w:val="center"/>
          </w:tcPr>
          <w:p>
            <w:pPr>
              <w:widowControl/>
              <w:jc w:val="center"/>
            </w:pPr>
            <w:r>
              <w:rPr>
                <w:rFonts w:ascii="Times New Roman" w:hAnsi="Times New Roman" w:eastAsia="仿宋" w:cs="Times New Roman"/>
                <w:kern w:val="0"/>
                <w:sz w:val="22"/>
              </w:rPr>
              <w:t>——</w:t>
            </w:r>
          </w:p>
        </w:tc>
        <w:tc>
          <w:tcPr>
            <w:tcW w:w="4933" w:type="dxa"/>
            <w:vAlign w:val="center"/>
          </w:tcPr>
          <w:p>
            <w:pPr>
              <w:widowControl/>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widowControl/>
              <w:jc w:val="left"/>
            </w:pPr>
            <w:r>
              <w:rPr>
                <w:rFonts w:ascii="Times New Roman" w:hAnsi="Times New Roman" w:eastAsia="仿宋" w:cs="Times New Roman"/>
                <w:kern w:val="0"/>
                <w:sz w:val="22"/>
              </w:rPr>
              <w:t>4、其他固定资产</w:t>
            </w:r>
          </w:p>
        </w:tc>
        <w:tc>
          <w:tcPr>
            <w:tcW w:w="4933" w:type="dxa"/>
            <w:vAlign w:val="center"/>
          </w:tcPr>
          <w:p>
            <w:pPr>
              <w:widowControl/>
              <w:jc w:val="center"/>
            </w:pPr>
            <w:r>
              <w:rPr>
                <w:rFonts w:ascii="Times New Roman" w:hAnsi="Times New Roman" w:eastAsia="仿宋" w:cs="Times New Roman"/>
                <w:kern w:val="0"/>
                <w:sz w:val="22"/>
              </w:rPr>
              <w:t>——</w:t>
            </w:r>
          </w:p>
        </w:tc>
        <w:tc>
          <w:tcPr>
            <w:tcW w:w="4933" w:type="dxa"/>
            <w:vAlign w:val="center"/>
          </w:tcPr>
          <w:p>
            <w:pPr>
              <w:widowControl/>
              <w:jc w:val="center"/>
            </w:pPr>
            <w:r>
              <w:rPr>
                <w:rFonts w:hint="eastAsia" w:ascii="Times New Roman" w:hAnsi="Times New Roman" w:eastAsia="仿宋" w:cs="Times New Roman"/>
                <w:kern w:val="0"/>
                <w:sz w:val="22"/>
                <w:lang w:val="en-US" w:eastAsia="zh-CN"/>
              </w:rPr>
              <w:t>230.005993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103F4"/>
    <w:multiLevelType w:val="singleLevel"/>
    <w:tmpl w:val="DF1103F4"/>
    <w:lvl w:ilvl="0" w:tentative="0">
      <w:start w:val="3"/>
      <w:numFmt w:val="chineseCounting"/>
      <w:suff w:val="nothing"/>
      <w:lvlText w:val="%1、"/>
      <w:lvlJc w:val="left"/>
      <w:rPr>
        <w:rFonts w:hint="eastAsia"/>
      </w:rPr>
    </w:lvl>
  </w:abstractNum>
  <w:abstractNum w:abstractNumId="1">
    <w:nsid w:val="45DDDE22"/>
    <w:multiLevelType w:val="singleLevel"/>
    <w:tmpl w:val="45DDDE2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5214C4"/>
    <w:rsid w:val="0AEB7192"/>
    <w:rsid w:val="0C0F73D2"/>
    <w:rsid w:val="17134266"/>
    <w:rsid w:val="2398325E"/>
    <w:rsid w:val="384452E1"/>
    <w:rsid w:val="43362572"/>
    <w:rsid w:val="4A6F1787"/>
    <w:rsid w:val="549B7B24"/>
    <w:rsid w:val="57101C13"/>
    <w:rsid w:val="5A056597"/>
    <w:rsid w:val="5C3411D8"/>
    <w:rsid w:val="64060D4B"/>
    <w:rsid w:val="6E883A51"/>
    <w:rsid w:val="7495236C"/>
    <w:rsid w:val="7BF64A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Normal_a505c030-1c8b-4652-b994-80c8d7cd8361"/>
    <w:qFormat/>
    <w:uiPriority w:val="0"/>
    <w:rPr>
      <w:rFonts w:ascii="Times New Roman" w:hAnsi="Times New Roman" w:eastAsia="Times New Roman" w:cs="Times New Roman"/>
      <w:sz w:val="24"/>
      <w:szCs w:val="24"/>
      <w:lang w:val="en-US" w:eastAsia="uk-UA" w:bidi="ar-SA"/>
    </w:rPr>
  </w:style>
  <w:style w:type="paragraph" w:customStyle="1" w:styleId="27">
    <w:name w:val="单元格样式1_5420c3f6-2491-4e29-8466-f280ab211205"/>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8">
    <w:name w:val="单元格样式2_2123c1d4-8ec1-46f4-a795-1cb1044535fd"/>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9">
    <w:name w:val="单元格样式3_65fd11dd-5001-4697-b263-80443a0f641b"/>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2022-02-14T17:25:01Z</dcterms:created>
  <dcterms:modified xsi:type="dcterms:W3CDTF">2022-02-14T09:25:01Z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2022-02-14T17:24:52Z</dcterms:created>
  <dcterms:modified xsi:type="dcterms:W3CDTF">2022-02-14T09:24:52Z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2022-02-14T17:24:43Z</dcterms:created>
  <dcterms:modified xsi:type="dcterms:W3CDTF">2022-02-14T09:24:43Z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2022-02-14T17:24:22Z</dcterms:created>
  <dcterms:modified xsi:type="dcterms:W3CDTF">2022-02-14T09:24:22Z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a6dd4-5f7d-4908-87c4-4de39e02c21a}">
  <ds:schemaRefs/>
</ds:datastoreItem>
</file>

<file path=customXml/itemProps3.xml><?xml version="1.0" encoding="utf-8"?>
<ds:datastoreItem xmlns:ds="http://schemas.openxmlformats.org/officeDocument/2006/customXml" ds:itemID="{af1ec8d3-408e-42b1-a9df-8b2d6656bbd2}">
  <ds:schemaRefs/>
</ds:datastoreItem>
</file>

<file path=customXml/itemProps4.xml><?xml version="1.0" encoding="utf-8"?>
<ds:datastoreItem xmlns:ds="http://schemas.openxmlformats.org/officeDocument/2006/customXml" ds:itemID="{b6bfde94-5017-4d3e-aedb-7079c74fe2a5}">
  <ds:schemaRefs/>
</ds:datastoreItem>
</file>

<file path=customXml/itemProps5.xml><?xml version="1.0" encoding="utf-8"?>
<ds:datastoreItem xmlns:ds="http://schemas.openxmlformats.org/officeDocument/2006/customXml" ds:itemID="{ada68ce5-6002-426c-8f31-a963bedc52fd}">
  <ds:schemaRefs/>
</ds:datastoreItem>
</file>

<file path=customXml/itemProps6.xml><?xml version="1.0" encoding="utf-8"?>
<ds:datastoreItem xmlns:ds="http://schemas.openxmlformats.org/officeDocument/2006/customXml" ds:itemID="{f6daaa09-1f9a-466c-a7b5-d22c98afac7f}">
  <ds:schemaRefs/>
</ds:datastoreItem>
</file>

<file path=customXml/itemProps7.xml><?xml version="1.0" encoding="utf-8"?>
<ds:datastoreItem xmlns:ds="http://schemas.openxmlformats.org/officeDocument/2006/customXml" ds:itemID="{87703b2c-4c03-49a7-805d-1bb5824d9698}">
  <ds:schemaRefs/>
</ds:datastoreItem>
</file>

<file path=customXml/itemProps8.xml><?xml version="1.0" encoding="utf-8"?>
<ds:datastoreItem xmlns:ds="http://schemas.openxmlformats.org/officeDocument/2006/customXml" ds:itemID="{84c1a58f-59f7-4ed1-ac6c-120bfb90fca2}">
  <ds:schemaRefs/>
</ds:datastoreItem>
</file>

<file path=customXml/itemProps9.xml><?xml version="1.0" encoding="utf-8"?>
<ds:datastoreItem xmlns:ds="http://schemas.openxmlformats.org/officeDocument/2006/customXml" ds:itemID="{ae0f378f-fe32-425a-9d7d-7ba24b60d742}">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2022-02-14T17:25:00Z</dcterms:created>
  <dc:creator>Administrator</dc:creator>
  <cp:lastModifiedBy>Administrator</cp:lastModifiedBy>
  <dcterms:modified xsi:type="dcterms:W3CDTF">2022-03-17T08:02:39Z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